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6A54E" w14:textId="090BD65E" w:rsidR="00B908DA" w:rsidRPr="007360E3" w:rsidRDefault="007360E3">
      <w:pPr>
        <w:pStyle w:val="20"/>
        <w:spacing w:before="6" w:after="6"/>
        <w:ind w:firstLine="643"/>
        <w:jc w:val="center"/>
        <w:rPr>
          <w:rFonts w:ascii="仿宋" w:hAnsi="仿宋" w:cs="仿宋"/>
          <w:sz w:val="32"/>
          <w:szCs w:val="32"/>
          <w:lang w:val="zh-CN"/>
        </w:rPr>
      </w:pPr>
      <w:r w:rsidRPr="007360E3">
        <w:rPr>
          <w:rFonts w:ascii="仿宋" w:hAnsi="仿宋" w:cs="仿宋" w:hint="eastAsia"/>
          <w:sz w:val="32"/>
          <w:szCs w:val="32"/>
          <w:lang w:val="zh-CN"/>
        </w:rPr>
        <w:t>安保服务</w:t>
      </w:r>
      <w:r w:rsidR="00222876" w:rsidRPr="007360E3">
        <w:rPr>
          <w:rFonts w:ascii="仿宋" w:hAnsi="仿宋" w:cs="仿宋" w:hint="eastAsia"/>
          <w:sz w:val="32"/>
          <w:szCs w:val="32"/>
          <w:lang w:val="zh-CN"/>
        </w:rPr>
        <w:t>评分标准分</w:t>
      </w:r>
      <w:r>
        <w:rPr>
          <w:rFonts w:ascii="仿宋" w:hAnsi="仿宋" w:cs="仿宋" w:hint="eastAsia"/>
          <w:sz w:val="32"/>
          <w:szCs w:val="32"/>
          <w:lang w:val="zh-CN"/>
        </w:rPr>
        <w:t xml:space="preserve">范表 </w:t>
      </w:r>
    </w:p>
    <w:p w14:paraId="34009194" w14:textId="77777777" w:rsidR="00B908DA" w:rsidRDefault="00222876">
      <w:pPr>
        <w:tabs>
          <w:tab w:val="left" w:pos="6480"/>
        </w:tabs>
        <w:autoSpaceDE w:val="0"/>
        <w:autoSpaceDN w:val="0"/>
        <w:ind w:right="-315" w:firstLineChars="0" w:firstLine="0"/>
        <w:jc w:val="both"/>
        <w:rPr>
          <w:rFonts w:ascii="仿宋" w:hAnsi="仿宋" w:cs="仿宋"/>
          <w:szCs w:val="24"/>
          <w:lang w:val="zh-CN"/>
        </w:rPr>
      </w:pPr>
      <w:r>
        <w:rPr>
          <w:rFonts w:ascii="仿宋" w:hAnsi="仿宋" w:cs="仿宋" w:hint="eastAsia"/>
          <w:szCs w:val="24"/>
          <w:lang w:val="zh-CN"/>
        </w:rPr>
        <w:t xml:space="preserve"> </w:t>
      </w:r>
      <w:r>
        <w:rPr>
          <w:rFonts w:ascii="仿宋" w:hAnsi="仿宋" w:cs="仿宋" w:hint="eastAsia"/>
          <w:szCs w:val="24"/>
        </w:rPr>
        <w:t>1</w:t>
      </w:r>
      <w:r>
        <w:rPr>
          <w:rFonts w:ascii="仿宋" w:hAnsi="仿宋" w:cs="仿宋" w:hint="eastAsia"/>
          <w:szCs w:val="24"/>
        </w:rPr>
        <w:t>、</w:t>
      </w:r>
      <w:r>
        <w:rPr>
          <w:rFonts w:ascii="仿宋" w:hAnsi="仿宋" w:cs="仿宋" w:hint="eastAsia"/>
          <w:b/>
          <w:bCs/>
          <w:szCs w:val="24"/>
          <w:lang w:val="zh-CN"/>
        </w:rPr>
        <w:t>评分因素以及分值</w:t>
      </w:r>
    </w:p>
    <w:tbl>
      <w:tblPr>
        <w:tblW w:w="506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1582"/>
        <w:gridCol w:w="1705"/>
        <w:gridCol w:w="1582"/>
        <w:gridCol w:w="1832"/>
      </w:tblGrid>
      <w:tr w:rsidR="00B908DA" w14:paraId="3F910DD3" w14:textId="77777777">
        <w:trPr>
          <w:trHeight w:val="572"/>
          <w:jc w:val="center"/>
        </w:trPr>
        <w:tc>
          <w:tcPr>
            <w:tcW w:w="10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DDB85B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  <w:lang w:val="zh-CN"/>
              </w:rPr>
            </w:pPr>
            <w:r>
              <w:rPr>
                <w:rFonts w:ascii="仿宋" w:hAnsi="仿宋" w:cs="仿宋" w:hint="eastAsia"/>
                <w:szCs w:val="24"/>
                <w:lang w:val="zh-CN"/>
              </w:rPr>
              <w:t>评分因素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F62984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</w:rPr>
            </w:pPr>
            <w:r>
              <w:rPr>
                <w:rFonts w:ascii="仿宋" w:hAnsi="仿宋" w:cs="仿宋" w:hint="eastAsia"/>
                <w:szCs w:val="24"/>
              </w:rPr>
              <w:t>报价部分</w:t>
            </w:r>
          </w:p>
        </w:tc>
        <w:tc>
          <w:tcPr>
            <w:tcW w:w="10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A3781B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</w:rPr>
            </w:pPr>
            <w:r>
              <w:rPr>
                <w:rFonts w:ascii="仿宋" w:hAnsi="仿宋" w:cs="仿宋" w:hint="eastAsia"/>
                <w:szCs w:val="24"/>
              </w:rPr>
              <w:t>商务部分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4384C4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</w:rPr>
            </w:pPr>
            <w:r>
              <w:rPr>
                <w:rFonts w:ascii="仿宋" w:hAnsi="仿宋" w:cs="仿宋" w:hint="eastAsia"/>
                <w:szCs w:val="24"/>
                <w:lang w:val="zh-CN"/>
              </w:rPr>
              <w:t>技术</w:t>
            </w:r>
            <w:r>
              <w:rPr>
                <w:rFonts w:ascii="仿宋" w:hAnsi="仿宋" w:cs="仿宋" w:hint="eastAsia"/>
                <w:szCs w:val="24"/>
              </w:rPr>
              <w:t>部分</w:t>
            </w:r>
          </w:p>
        </w:tc>
        <w:tc>
          <w:tcPr>
            <w:tcW w:w="108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2EB2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  <w:lang w:val="zh-CN"/>
              </w:rPr>
            </w:pPr>
            <w:r>
              <w:rPr>
                <w:rFonts w:ascii="仿宋" w:hAnsi="仿宋" w:cs="仿宋" w:hint="eastAsia"/>
                <w:szCs w:val="24"/>
                <w:lang w:val="zh-CN"/>
              </w:rPr>
              <w:t>合计</w:t>
            </w:r>
          </w:p>
        </w:tc>
      </w:tr>
      <w:tr w:rsidR="00B908DA" w14:paraId="15B0209F" w14:textId="77777777">
        <w:trPr>
          <w:trHeight w:val="522"/>
          <w:jc w:val="center"/>
        </w:trPr>
        <w:tc>
          <w:tcPr>
            <w:tcW w:w="1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231B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  <w:lang w:val="zh-CN"/>
              </w:rPr>
            </w:pPr>
            <w:r>
              <w:rPr>
                <w:rFonts w:ascii="仿宋" w:hAnsi="仿宋" w:cs="仿宋" w:hint="eastAsia"/>
                <w:szCs w:val="24"/>
                <w:lang w:val="zh-CN"/>
              </w:rPr>
              <w:t>分值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B9947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</w:rPr>
            </w:pPr>
            <w:r>
              <w:rPr>
                <w:rFonts w:ascii="仿宋" w:hAnsi="仿宋" w:cs="仿宋"/>
                <w:szCs w:val="24"/>
              </w:rPr>
              <w:t>20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403CB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</w:rPr>
            </w:pPr>
            <w:r>
              <w:rPr>
                <w:rFonts w:ascii="仿宋" w:hAnsi="仿宋" w:cs="仿宋"/>
                <w:szCs w:val="24"/>
              </w:rPr>
              <w:t>10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7C21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</w:rPr>
            </w:pPr>
            <w:r>
              <w:rPr>
                <w:rFonts w:ascii="仿宋" w:hAnsi="仿宋" w:cs="仿宋" w:hint="eastAsia"/>
                <w:szCs w:val="24"/>
              </w:rPr>
              <w:t>7</w:t>
            </w:r>
            <w:r>
              <w:rPr>
                <w:rFonts w:ascii="仿宋" w:hAnsi="仿宋" w:cs="仿宋"/>
                <w:szCs w:val="24"/>
              </w:rPr>
              <w:t>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E1B9" w14:textId="77777777" w:rsidR="00B908DA" w:rsidRDefault="00222876">
            <w:pPr>
              <w:tabs>
                <w:tab w:val="left" w:pos="6480"/>
              </w:tabs>
              <w:autoSpaceDE w:val="0"/>
              <w:autoSpaceDN w:val="0"/>
              <w:snapToGrid w:val="0"/>
              <w:ind w:firstLineChars="0" w:firstLine="0"/>
              <w:jc w:val="center"/>
              <w:rPr>
                <w:rFonts w:ascii="仿宋" w:hAnsi="仿宋" w:cs="仿宋"/>
                <w:szCs w:val="24"/>
                <w:lang w:val="zh-CN"/>
              </w:rPr>
            </w:pPr>
            <w:r>
              <w:rPr>
                <w:rFonts w:ascii="仿宋" w:hAnsi="仿宋" w:cs="仿宋" w:hint="eastAsia"/>
                <w:szCs w:val="24"/>
                <w:lang w:val="zh-CN"/>
              </w:rPr>
              <w:t>100</w:t>
            </w:r>
          </w:p>
        </w:tc>
      </w:tr>
    </w:tbl>
    <w:p w14:paraId="20E01FE6" w14:textId="77777777" w:rsidR="00B908DA" w:rsidRDefault="00B908DA">
      <w:pPr>
        <w:ind w:firstLineChars="0" w:firstLine="0"/>
        <w:rPr>
          <w:rFonts w:ascii="仿宋" w:hAnsi="仿宋" w:cs="仿宋"/>
        </w:rPr>
      </w:pPr>
    </w:p>
    <w:tbl>
      <w:tblPr>
        <w:tblW w:w="98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26"/>
        <w:gridCol w:w="826"/>
        <w:gridCol w:w="6493"/>
      </w:tblGrid>
      <w:tr w:rsidR="00B908DA" w14:paraId="5BAB7056" w14:textId="77777777">
        <w:trPr>
          <w:cantSplit/>
          <w:trHeight w:val="497"/>
          <w:jc w:val="center"/>
        </w:trPr>
        <w:tc>
          <w:tcPr>
            <w:tcW w:w="2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6D81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评分因素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DB7B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分值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5F3ED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评分标准</w:t>
            </w:r>
          </w:p>
        </w:tc>
      </w:tr>
      <w:tr w:rsidR="00B908DA" w14:paraId="6FC3F199" w14:textId="77777777">
        <w:trPr>
          <w:cantSplit/>
          <w:trHeight w:val="938"/>
          <w:jc w:val="center"/>
        </w:trPr>
        <w:tc>
          <w:tcPr>
            <w:tcW w:w="2502" w:type="dxa"/>
            <w:gridSpan w:val="2"/>
            <w:vMerge w:val="restart"/>
            <w:vAlign w:val="center"/>
          </w:tcPr>
          <w:p w14:paraId="5B0177A5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报价部分（</w:t>
            </w:r>
            <w:r>
              <w:rPr>
                <w:rFonts w:ascii="仿宋" w:hAnsi="仿宋" w:cs="仿宋"/>
                <w:sz w:val="21"/>
                <w:szCs w:val="21"/>
              </w:rPr>
              <w:t>20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分）</w:t>
            </w:r>
          </w:p>
        </w:tc>
        <w:tc>
          <w:tcPr>
            <w:tcW w:w="826" w:type="dxa"/>
            <w:vAlign w:val="center"/>
          </w:tcPr>
          <w:p w14:paraId="6257DE10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/>
                <w:sz w:val="21"/>
                <w:szCs w:val="21"/>
              </w:rPr>
              <w:t>18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vAlign w:val="center"/>
          </w:tcPr>
          <w:p w14:paraId="5FEF05F2" w14:textId="77777777" w:rsidR="00B908DA" w:rsidRDefault="00222876">
            <w:pPr>
              <w:topLinePunct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满足采购文件要求且投标报价最低的为评标基准价，其价格分为满分（</w:t>
            </w:r>
            <w:r>
              <w:rPr>
                <w:rFonts w:ascii="仿宋" w:hAnsi="仿宋" w:cs="仿宋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8</w:t>
            </w:r>
            <w:r>
              <w:rPr>
                <w:rFonts w:ascii="仿宋" w:hAnsi="仿宋" w:cs="仿宋" w:hint="eastAsia"/>
                <w:sz w:val="21"/>
                <w:szCs w:val="21"/>
              </w:rPr>
              <w:t>分）。其他供应商的价格</w:t>
            </w:r>
            <w:proofErr w:type="gramStart"/>
            <w:r>
              <w:rPr>
                <w:rFonts w:ascii="仿宋" w:hAnsi="仿宋" w:cs="仿宋" w:hint="eastAsia"/>
                <w:sz w:val="21"/>
                <w:szCs w:val="21"/>
              </w:rPr>
              <w:t>分统一</w:t>
            </w:r>
            <w:proofErr w:type="gramEnd"/>
            <w:r>
              <w:rPr>
                <w:rFonts w:ascii="仿宋" w:hAnsi="仿宋" w:cs="仿宋" w:hint="eastAsia"/>
                <w:sz w:val="21"/>
                <w:szCs w:val="21"/>
              </w:rPr>
              <w:t>按照下列公式计算：投标报价得分＝（评标基准价／投标报价）×</w:t>
            </w:r>
            <w:r>
              <w:rPr>
                <w:rFonts w:ascii="仿宋" w:hAnsi="仿宋" w:cs="仿宋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8</w:t>
            </w:r>
            <w:r>
              <w:rPr>
                <w:rFonts w:ascii="仿宋" w:hAnsi="仿宋" w:cs="仿宋" w:hint="eastAsia"/>
                <w:sz w:val="21"/>
                <w:szCs w:val="21"/>
              </w:rPr>
              <w:t>。</w:t>
            </w:r>
          </w:p>
        </w:tc>
      </w:tr>
      <w:tr w:rsidR="00B908DA" w14:paraId="00D9D94A" w14:textId="77777777">
        <w:trPr>
          <w:cantSplit/>
          <w:trHeight w:val="938"/>
          <w:jc w:val="center"/>
        </w:trPr>
        <w:tc>
          <w:tcPr>
            <w:tcW w:w="2502" w:type="dxa"/>
            <w:gridSpan w:val="2"/>
            <w:vMerge/>
            <w:vAlign w:val="center"/>
          </w:tcPr>
          <w:p w14:paraId="4B186EDF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color w:val="FF0000"/>
                <w:sz w:val="21"/>
                <w:szCs w:val="21"/>
              </w:rPr>
            </w:pPr>
          </w:p>
        </w:tc>
        <w:tc>
          <w:tcPr>
            <w:tcW w:w="826" w:type="dxa"/>
            <w:vAlign w:val="center"/>
          </w:tcPr>
          <w:p w14:paraId="03623742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报价合理性</w:t>
            </w:r>
            <w:r>
              <w:rPr>
                <w:rFonts w:ascii="仿宋" w:hAnsi="仿宋" w:cs="仿宋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vAlign w:val="center"/>
          </w:tcPr>
          <w:p w14:paraId="69EE9513" w14:textId="77777777" w:rsidR="00B908DA" w:rsidRDefault="00222876">
            <w:pPr>
              <w:topLinePunct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根据项目投标报价成本测算分析，符合国家及招标文件有关规定，综合成本测算分析是否合理，是否有利于维持安保服务质量情况，得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2-0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</w:tc>
      </w:tr>
      <w:tr w:rsidR="00B908DA" w14:paraId="30B7A8A4" w14:textId="77777777">
        <w:trPr>
          <w:cantSplit/>
          <w:trHeight w:val="1055"/>
          <w:jc w:val="center"/>
        </w:trPr>
        <w:tc>
          <w:tcPr>
            <w:tcW w:w="1276" w:type="dxa"/>
            <w:vMerge w:val="restart"/>
            <w:vAlign w:val="center"/>
          </w:tcPr>
          <w:p w14:paraId="4071A820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商务</w:t>
            </w:r>
          </w:p>
          <w:p w14:paraId="634BAEF6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部分</w:t>
            </w:r>
          </w:p>
          <w:p w14:paraId="698408C7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10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分）</w:t>
            </w:r>
          </w:p>
        </w:tc>
        <w:tc>
          <w:tcPr>
            <w:tcW w:w="1226" w:type="dxa"/>
            <w:vAlign w:val="center"/>
          </w:tcPr>
          <w:p w14:paraId="0951AC56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企业业绩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1D4D2441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7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tcBorders>
              <w:bottom w:val="single" w:sz="4" w:space="0" w:color="auto"/>
            </w:tcBorders>
            <w:vAlign w:val="center"/>
          </w:tcPr>
          <w:p w14:paraId="33749041" w14:textId="77777777" w:rsidR="00B908DA" w:rsidRDefault="00222876">
            <w:pPr>
              <w:topLinePunct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投标人自</w:t>
            </w:r>
            <w:r>
              <w:rPr>
                <w:rFonts w:ascii="仿宋" w:hAnsi="仿宋" w:cs="仿宋" w:hint="eastAsia"/>
                <w:sz w:val="21"/>
                <w:szCs w:val="21"/>
              </w:rPr>
              <w:t>2018</w:t>
            </w:r>
            <w:r>
              <w:rPr>
                <w:rFonts w:ascii="仿宋" w:hAnsi="仿宋" w:cs="仿宋" w:hint="eastAsia"/>
                <w:sz w:val="21"/>
                <w:szCs w:val="21"/>
              </w:rPr>
              <w:t>年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月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日至今签订的安保服务合同每提供一个得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分，以合同签订时间为准，最高得</w:t>
            </w:r>
            <w:r>
              <w:rPr>
                <w:rFonts w:ascii="仿宋" w:hAnsi="仿宋" w:cs="仿宋" w:hint="eastAsia"/>
                <w:sz w:val="21"/>
                <w:szCs w:val="21"/>
              </w:rPr>
              <w:t>7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  <w:p w14:paraId="19CEE1C3" w14:textId="77777777" w:rsidR="00B908DA" w:rsidRDefault="00222876">
            <w:pPr>
              <w:topLinePunct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注：须提供合同原件及中标通知书原件，二者缺一不可，复印件胶装到投标文件中，否则不得分。</w:t>
            </w:r>
          </w:p>
        </w:tc>
      </w:tr>
      <w:tr w:rsidR="00B908DA" w14:paraId="56AEB6C4" w14:textId="77777777">
        <w:trPr>
          <w:cantSplit/>
          <w:trHeight w:val="821"/>
          <w:jc w:val="center"/>
        </w:trPr>
        <w:tc>
          <w:tcPr>
            <w:tcW w:w="1276" w:type="dxa"/>
            <w:vMerge/>
            <w:vAlign w:val="center"/>
          </w:tcPr>
          <w:p w14:paraId="10CD7B44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14:paraId="35FE9175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企业认证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F005D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D8E81" w14:textId="77777777" w:rsidR="00B908DA" w:rsidRDefault="00222876">
            <w:pPr>
              <w:topLinePunct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投标人具有质量管理体系、环境管理体系认证、职业健康安全管理体系认证的且在有效期内的，每提供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个得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分，最多得</w:t>
            </w:r>
            <w:r>
              <w:rPr>
                <w:rFonts w:ascii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  <w:p w14:paraId="7230D6D6" w14:textId="77777777" w:rsidR="00B908DA" w:rsidRDefault="00222876">
            <w:pPr>
              <w:topLinePunct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注：开标时提供证书原件，复印件、全国认证认可信息公共服务平台查询截图、查询网页</w:t>
            </w:r>
            <w:proofErr w:type="gramStart"/>
            <w:r>
              <w:rPr>
                <w:rFonts w:ascii="仿宋" w:hAnsi="仿宋" w:cs="仿宋" w:hint="eastAsia"/>
                <w:sz w:val="21"/>
                <w:szCs w:val="21"/>
              </w:rPr>
              <w:t>链接须</w:t>
            </w:r>
            <w:proofErr w:type="gramEnd"/>
            <w:r>
              <w:rPr>
                <w:rFonts w:ascii="仿宋" w:hAnsi="仿宋" w:cs="仿宋" w:hint="eastAsia"/>
                <w:sz w:val="21"/>
                <w:szCs w:val="21"/>
              </w:rPr>
              <w:t>胶装在投标文件中，缺一不可，否则不得分。</w:t>
            </w:r>
          </w:p>
        </w:tc>
      </w:tr>
      <w:tr w:rsidR="00B908DA" w14:paraId="6A6C9F9E" w14:textId="77777777">
        <w:trPr>
          <w:cantSplit/>
          <w:trHeight w:val="257"/>
          <w:jc w:val="center"/>
        </w:trPr>
        <w:tc>
          <w:tcPr>
            <w:tcW w:w="1276" w:type="dxa"/>
            <w:vMerge w:val="restart"/>
            <w:vAlign w:val="center"/>
          </w:tcPr>
          <w:p w14:paraId="07A6741E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技术</w:t>
            </w:r>
          </w:p>
          <w:p w14:paraId="17C1607E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部分</w:t>
            </w:r>
          </w:p>
          <w:p w14:paraId="709F8116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/>
                <w:sz w:val="21"/>
                <w:szCs w:val="21"/>
              </w:rPr>
              <w:t>70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分）</w:t>
            </w:r>
          </w:p>
        </w:tc>
        <w:tc>
          <w:tcPr>
            <w:tcW w:w="1226" w:type="dxa"/>
            <w:vAlign w:val="center"/>
          </w:tcPr>
          <w:p w14:paraId="3228157D" w14:textId="77777777" w:rsidR="00B908DA" w:rsidRDefault="00222876">
            <w:pPr>
              <w:widowControl/>
              <w:tabs>
                <w:tab w:val="left" w:pos="504"/>
              </w:tabs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应急服务响应方案及预案</w:t>
            </w:r>
          </w:p>
        </w:tc>
        <w:tc>
          <w:tcPr>
            <w:tcW w:w="826" w:type="dxa"/>
            <w:tcBorders>
              <w:top w:val="single" w:sz="4" w:space="0" w:color="auto"/>
            </w:tcBorders>
            <w:vAlign w:val="center"/>
          </w:tcPr>
          <w:p w14:paraId="46CD36D9" w14:textId="77777777" w:rsidR="00B908DA" w:rsidRDefault="00222876">
            <w:pPr>
              <w:widowControl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7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tcBorders>
              <w:top w:val="single" w:sz="4" w:space="0" w:color="auto"/>
            </w:tcBorders>
            <w:vAlign w:val="center"/>
          </w:tcPr>
          <w:p w14:paraId="49BE05E3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各种特殊情况下的快速应急服务响应方案、针对突发事件处置的应急预案：</w:t>
            </w:r>
          </w:p>
          <w:p w14:paraId="19F4B440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）有应对突发事件（包括台风、暴雨、地震等灾害性天气导致的各类突发事件及其他突发事件）时的应急预案及相应的措施，根据内容得</w:t>
            </w:r>
            <w:r>
              <w:rPr>
                <w:rFonts w:ascii="仿宋" w:hAnsi="仿宋" w:cs="仿宋" w:hint="eastAsia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</w:p>
          <w:p w14:paraId="5BB3CC79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）有针对防盗、防火的安全防范巡查方案，根据内容得</w:t>
            </w:r>
            <w:r>
              <w:rPr>
                <w:rFonts w:ascii="仿宋" w:hAnsi="仿宋" w:cs="仿宋" w:hint="eastAsia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</w:p>
          <w:p w14:paraId="1BB813E7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）有应对危及学校师生人员安全的突发事件的应急预案，根据内容得</w:t>
            </w:r>
            <w:r>
              <w:rPr>
                <w:rFonts w:ascii="仿宋" w:hAnsi="仿宋" w:cs="仿宋" w:hint="eastAsia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</w:p>
          <w:p w14:paraId="7FE04581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4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）有应对群体性事件、暴</w:t>
            </w:r>
            <w:proofErr w:type="gramStart"/>
            <w:r>
              <w:rPr>
                <w:rFonts w:ascii="仿宋" w:hAnsi="仿宋" w:cs="仿宋" w:hint="eastAsia"/>
                <w:sz w:val="21"/>
                <w:szCs w:val="21"/>
              </w:rPr>
              <w:t>恐事件</w:t>
            </w:r>
            <w:proofErr w:type="gramEnd"/>
            <w:r>
              <w:rPr>
                <w:rFonts w:ascii="仿宋" w:hAnsi="仿宋" w:cs="仿宋" w:hint="eastAsia"/>
                <w:sz w:val="21"/>
                <w:szCs w:val="21"/>
              </w:rPr>
              <w:t>等类型的应急预案，根据内容得</w:t>
            </w:r>
            <w:r>
              <w:rPr>
                <w:rFonts w:ascii="仿宋" w:hAnsi="仿宋" w:cs="仿宋" w:hint="eastAsia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</w:p>
          <w:p w14:paraId="59D755BB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5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）有应对重大活动或重要接待任务等类型的应急预案，根据内容得</w:t>
            </w:r>
            <w:r>
              <w:rPr>
                <w:rFonts w:ascii="仿宋" w:hAnsi="仿宋" w:cs="仿宋" w:hint="eastAsia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</w:p>
          <w:p w14:paraId="3500C81E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6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）有应对</w:t>
            </w:r>
            <w:proofErr w:type="gramStart"/>
            <w:r>
              <w:rPr>
                <w:rFonts w:ascii="仿宋" w:hAnsi="仿宋" w:cs="仿宋" w:hint="eastAsia"/>
                <w:sz w:val="21"/>
                <w:szCs w:val="21"/>
              </w:rPr>
              <w:t>突发性公卫事件</w:t>
            </w:r>
            <w:proofErr w:type="gramEnd"/>
            <w:r>
              <w:rPr>
                <w:rFonts w:ascii="仿宋" w:hAnsi="仿宋" w:cs="仿宋" w:hint="eastAsia"/>
                <w:sz w:val="21"/>
                <w:szCs w:val="21"/>
              </w:rPr>
              <w:t>（如针对疫情防控）等类型的应急预案，，根据内容得</w:t>
            </w:r>
            <w:r>
              <w:rPr>
                <w:rFonts w:ascii="仿宋" w:hAnsi="仿宋" w:cs="仿宋" w:hint="eastAsia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</w:p>
          <w:p w14:paraId="7A09F0ED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7</w:t>
            </w:r>
            <w:r>
              <w:rPr>
                <w:rFonts w:ascii="仿宋" w:hAnsi="仿宋" w:cs="仿宋" w:hint="eastAsia"/>
                <w:sz w:val="21"/>
                <w:szCs w:val="21"/>
              </w:rPr>
              <w:t>）对各种突发事件，制订切实可行合理的安全疏散方案，根据内容得</w:t>
            </w:r>
            <w:r>
              <w:rPr>
                <w:rFonts w:ascii="仿宋" w:hAnsi="仿宋" w:cs="仿宋" w:hint="eastAsia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</w:tc>
      </w:tr>
      <w:tr w:rsidR="00B908DA" w14:paraId="2D4F6859" w14:textId="77777777">
        <w:trPr>
          <w:cantSplit/>
          <w:trHeight w:val="257"/>
          <w:jc w:val="center"/>
        </w:trPr>
        <w:tc>
          <w:tcPr>
            <w:tcW w:w="1276" w:type="dxa"/>
            <w:vMerge/>
            <w:vAlign w:val="center"/>
          </w:tcPr>
          <w:p w14:paraId="64346369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14:paraId="48D6AC61" w14:textId="2F081432" w:rsidR="00B908DA" w:rsidRDefault="008E2A75">
            <w:pPr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 xml:space="preserve"> </w:t>
            </w:r>
            <w:r w:rsidR="00222876">
              <w:rPr>
                <w:rFonts w:ascii="仿宋" w:hAnsi="仿宋" w:cs="仿宋" w:hint="eastAsia"/>
                <w:sz w:val="21"/>
                <w:szCs w:val="21"/>
              </w:rPr>
              <w:t>安保</w:t>
            </w:r>
            <w:r>
              <w:rPr>
                <w:rFonts w:ascii="仿宋" w:hAnsi="仿宋" w:cs="仿宋" w:hint="eastAsia"/>
                <w:sz w:val="21"/>
                <w:szCs w:val="21"/>
              </w:rPr>
              <w:t>设备</w:t>
            </w:r>
            <w:r w:rsidR="00222876">
              <w:rPr>
                <w:rFonts w:ascii="仿宋" w:hAnsi="仿宋" w:cs="仿宋" w:hint="eastAsia"/>
                <w:sz w:val="21"/>
                <w:szCs w:val="21"/>
              </w:rPr>
              <w:t>配备</w:t>
            </w:r>
          </w:p>
        </w:tc>
        <w:tc>
          <w:tcPr>
            <w:tcW w:w="826" w:type="dxa"/>
            <w:tcBorders>
              <w:top w:val="single" w:sz="4" w:space="0" w:color="auto"/>
            </w:tcBorders>
            <w:vAlign w:val="center"/>
          </w:tcPr>
          <w:p w14:paraId="6E9FDB07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/>
                <w:sz w:val="21"/>
                <w:szCs w:val="21"/>
              </w:rPr>
              <w:t>12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tcBorders>
              <w:top w:val="single" w:sz="4" w:space="0" w:color="auto"/>
            </w:tcBorders>
          </w:tcPr>
          <w:p w14:paraId="05A29AED" w14:textId="77777777" w:rsidR="00B908DA" w:rsidRDefault="00222876">
            <w:pPr>
              <w:pStyle w:val="a4"/>
              <w:shd w:val="clear" w:color="auto" w:fill="auto"/>
              <w:tabs>
                <w:tab w:val="left" w:pos="365"/>
              </w:tabs>
              <w:spacing w:line="240" w:lineRule="auto"/>
              <w:ind w:firstLineChars="0" w:firstLine="0"/>
              <w:jc w:val="both"/>
              <w:rPr>
                <w:rFonts w:ascii="仿宋" w:eastAsia="仿宋" w:hAnsi="仿宋" w:cs="仿宋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>1.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配置</w:t>
            </w:r>
            <w:r>
              <w:rPr>
                <w:rFonts w:ascii="仿宋" w:eastAsia="仿宋" w:hAnsi="仿宋" w:cs="仿宋" w:hint="eastAsia"/>
                <w:sz w:val="21"/>
                <w:szCs w:val="21"/>
                <w:lang w:val="en-US"/>
              </w:rPr>
              <w:t>5</w:t>
            </w:r>
            <w:r>
              <w:rPr>
                <w:rFonts w:ascii="仿宋" w:eastAsia="仿宋" w:hAnsi="仿宋" w:cs="仿宋" w:hint="eastAsia"/>
                <w:sz w:val="21"/>
                <w:szCs w:val="21"/>
                <w:lang w:val="en-US"/>
              </w:rPr>
              <w:t>座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电动四轮巡逻车两辆：新购置车辆每台得</w:t>
            </w:r>
            <w:r>
              <w:rPr>
                <w:rFonts w:ascii="仿宋" w:eastAsia="仿宋" w:hAnsi="仿宋" w:cs="仿宋"/>
                <w:sz w:val="21"/>
                <w:szCs w:val="21"/>
              </w:rPr>
              <w:t>2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分，购置一年以上两年以内的每台得</w:t>
            </w:r>
            <w:r>
              <w:rPr>
                <w:rFonts w:ascii="仿宋" w:eastAsia="仿宋" w:hAnsi="仿宋" w:cs="仿宋"/>
                <w:sz w:val="21"/>
                <w:szCs w:val="21"/>
              </w:rPr>
              <w:t>1</w:t>
            </w:r>
            <w:r>
              <w:rPr>
                <w:rFonts w:ascii="仿宋" w:eastAsia="仿宋" w:hAnsi="仿宋" w:cs="仿宋"/>
                <w:sz w:val="21"/>
                <w:szCs w:val="21"/>
              </w:rPr>
              <w:t>分，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 xml:space="preserve"> </w:t>
            </w:r>
            <w:r>
              <w:rPr>
                <w:rFonts w:ascii="仿宋" w:eastAsia="仿宋" w:hAnsi="仿宋" w:cs="仿宋"/>
                <w:sz w:val="21"/>
                <w:szCs w:val="21"/>
              </w:rPr>
              <w:t>两年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以上三年以内</w:t>
            </w:r>
            <w:r>
              <w:rPr>
                <w:rFonts w:ascii="仿宋" w:eastAsia="仿宋" w:hAnsi="仿宋" w:cs="仿宋"/>
                <w:sz w:val="21"/>
                <w:szCs w:val="21"/>
              </w:rPr>
              <w:t>的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每台</w:t>
            </w:r>
            <w:r>
              <w:rPr>
                <w:rFonts w:ascii="仿宋" w:eastAsia="仿宋" w:hAnsi="仿宋" w:cs="仿宋"/>
                <w:sz w:val="21"/>
                <w:szCs w:val="21"/>
              </w:rPr>
              <w:t>得</w:t>
            </w:r>
            <w:r>
              <w:rPr>
                <w:rFonts w:ascii="仿宋" w:eastAsia="仿宋" w:hAnsi="仿宋" w:cs="仿宋"/>
                <w:sz w:val="21"/>
                <w:szCs w:val="21"/>
              </w:rPr>
              <w:t>0.5</w:t>
            </w:r>
            <w:r>
              <w:rPr>
                <w:rFonts w:ascii="仿宋" w:eastAsia="仿宋" w:hAnsi="仿宋" w:cs="仿宋"/>
                <w:sz w:val="21"/>
                <w:szCs w:val="21"/>
              </w:rPr>
              <w:t>分；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本项最高得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4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分。</w:t>
            </w:r>
          </w:p>
          <w:p w14:paraId="4A1E217B" w14:textId="77777777" w:rsidR="00B908DA" w:rsidRDefault="00222876">
            <w:pPr>
              <w:pStyle w:val="a4"/>
              <w:shd w:val="clear" w:color="auto" w:fill="auto"/>
              <w:tabs>
                <w:tab w:val="left" w:pos="365"/>
              </w:tabs>
              <w:spacing w:line="240" w:lineRule="auto"/>
              <w:ind w:firstLineChars="0" w:firstLine="0"/>
              <w:jc w:val="both"/>
              <w:rPr>
                <w:rFonts w:ascii="仿宋" w:eastAsia="仿宋" w:hAnsi="仿宋" w:cs="仿宋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 xml:space="preserve">2. 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配置两轮巡逻摩托车：新购置车辆每台得</w:t>
            </w:r>
            <w:r>
              <w:rPr>
                <w:rFonts w:ascii="仿宋" w:eastAsia="仿宋" w:hAnsi="仿宋" w:cs="仿宋"/>
                <w:sz w:val="21"/>
                <w:szCs w:val="21"/>
              </w:rPr>
              <w:t>1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分，购置一年以上两年以内的每台得</w:t>
            </w:r>
            <w:r>
              <w:rPr>
                <w:rFonts w:ascii="仿宋" w:eastAsia="仿宋" w:hAnsi="仿宋" w:cs="仿宋"/>
                <w:sz w:val="21"/>
                <w:szCs w:val="21"/>
              </w:rPr>
              <w:t>0.5</w:t>
            </w:r>
            <w:r>
              <w:rPr>
                <w:rFonts w:ascii="仿宋" w:eastAsia="仿宋" w:hAnsi="仿宋" w:cs="仿宋"/>
                <w:sz w:val="21"/>
                <w:szCs w:val="21"/>
              </w:rPr>
              <w:t>分，</w:t>
            </w:r>
            <w:r>
              <w:rPr>
                <w:rFonts w:ascii="仿宋" w:eastAsia="仿宋" w:hAnsi="仿宋" w:cs="仿宋" w:hint="eastAsia"/>
                <w:sz w:val="21"/>
                <w:szCs w:val="21"/>
                <w:lang w:val="en-US"/>
              </w:rPr>
              <w:t>两年以上的不得分，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 xml:space="preserve"> 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本项最高得</w:t>
            </w:r>
            <w:r>
              <w:rPr>
                <w:rFonts w:ascii="仿宋" w:eastAsia="仿宋" w:hAnsi="仿宋" w:cs="仿宋"/>
                <w:sz w:val="21"/>
                <w:szCs w:val="21"/>
              </w:rPr>
              <w:t>2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分。</w:t>
            </w:r>
          </w:p>
          <w:p w14:paraId="00F74C0C" w14:textId="77777777" w:rsidR="00B908DA" w:rsidRDefault="00222876">
            <w:pPr>
              <w:pStyle w:val="a4"/>
              <w:shd w:val="clear" w:color="auto" w:fill="auto"/>
              <w:tabs>
                <w:tab w:val="left" w:pos="365"/>
              </w:tabs>
              <w:spacing w:line="240" w:lineRule="auto"/>
              <w:ind w:firstLineChars="0" w:firstLine="0"/>
              <w:jc w:val="both"/>
              <w:rPr>
                <w:rFonts w:ascii="仿宋" w:eastAsia="仿宋" w:hAnsi="仿宋" w:cs="仿宋"/>
                <w:sz w:val="21"/>
                <w:szCs w:val="21"/>
              </w:rPr>
            </w:pPr>
            <w:r>
              <w:rPr>
                <w:rFonts w:ascii="仿宋" w:eastAsia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eastAsia="仿宋" w:hAnsi="仿宋" w:cs="仿宋"/>
                <w:sz w:val="21"/>
                <w:szCs w:val="21"/>
              </w:rPr>
              <w:t>.</w:t>
            </w:r>
            <w:r>
              <w:rPr>
                <w:rFonts w:ascii="仿宋" w:eastAsia="仿宋" w:hAnsi="仿宋" w:cs="仿宋" w:hint="eastAsia"/>
                <w:sz w:val="21"/>
                <w:szCs w:val="21"/>
                <w:lang w:val="en-US"/>
              </w:rPr>
              <w:t>配备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微型消防车一辆，新购置车辆得</w:t>
            </w:r>
            <w:r>
              <w:rPr>
                <w:rFonts w:ascii="仿宋" w:eastAsia="仿宋" w:hAnsi="仿宋" w:cs="仿宋"/>
                <w:sz w:val="21"/>
                <w:szCs w:val="21"/>
              </w:rPr>
              <w:t>2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分，购置一年以上两年以内的每台得</w:t>
            </w:r>
            <w:r>
              <w:rPr>
                <w:rFonts w:ascii="仿宋" w:eastAsia="仿宋" w:hAnsi="仿宋" w:cs="仿宋"/>
                <w:sz w:val="21"/>
                <w:szCs w:val="21"/>
              </w:rPr>
              <w:t>1</w:t>
            </w:r>
            <w:r>
              <w:rPr>
                <w:rFonts w:ascii="仿宋" w:eastAsia="仿宋" w:hAnsi="仿宋" w:cs="仿宋"/>
                <w:sz w:val="21"/>
                <w:szCs w:val="21"/>
              </w:rPr>
              <w:t>分，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 xml:space="preserve"> </w:t>
            </w:r>
            <w:r>
              <w:rPr>
                <w:rFonts w:ascii="仿宋" w:eastAsia="仿宋" w:hAnsi="仿宋" w:cs="仿宋"/>
                <w:sz w:val="21"/>
                <w:szCs w:val="21"/>
              </w:rPr>
              <w:t>两年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以上三年以内</w:t>
            </w:r>
            <w:r>
              <w:rPr>
                <w:rFonts w:ascii="仿宋" w:eastAsia="仿宋" w:hAnsi="仿宋" w:cs="仿宋"/>
                <w:sz w:val="21"/>
                <w:szCs w:val="21"/>
              </w:rPr>
              <w:t>的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每台</w:t>
            </w:r>
            <w:r>
              <w:rPr>
                <w:rFonts w:ascii="仿宋" w:eastAsia="仿宋" w:hAnsi="仿宋" w:cs="仿宋"/>
                <w:sz w:val="21"/>
                <w:szCs w:val="21"/>
              </w:rPr>
              <w:t>得</w:t>
            </w:r>
            <w:r>
              <w:rPr>
                <w:rFonts w:ascii="仿宋" w:eastAsia="仿宋" w:hAnsi="仿宋" w:cs="仿宋"/>
                <w:sz w:val="21"/>
                <w:szCs w:val="21"/>
              </w:rPr>
              <w:t>0.5</w:t>
            </w:r>
            <w:r>
              <w:rPr>
                <w:rFonts w:ascii="仿宋" w:eastAsia="仿宋" w:hAnsi="仿宋" w:cs="仿宋"/>
                <w:sz w:val="21"/>
                <w:szCs w:val="21"/>
              </w:rPr>
              <w:t>分；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本项最高得</w:t>
            </w:r>
            <w:r>
              <w:rPr>
                <w:rFonts w:ascii="仿宋" w:eastAsia="仿宋" w:hAnsi="仿宋" w:cs="仿宋"/>
                <w:sz w:val="21"/>
                <w:szCs w:val="21"/>
              </w:rPr>
              <w:t>2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分。</w:t>
            </w:r>
          </w:p>
          <w:p w14:paraId="2A2D0C1A" w14:textId="77777777" w:rsidR="00B908DA" w:rsidRDefault="00222876">
            <w:pPr>
              <w:pStyle w:val="a4"/>
              <w:shd w:val="clear" w:color="auto" w:fill="auto"/>
              <w:tabs>
                <w:tab w:val="left" w:pos="365"/>
              </w:tabs>
              <w:spacing w:line="240" w:lineRule="auto"/>
              <w:ind w:firstLineChars="0" w:firstLine="0"/>
              <w:jc w:val="both"/>
              <w:rPr>
                <w:rFonts w:ascii="仿宋" w:eastAsia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Cs w:val="24"/>
              </w:rPr>
              <w:t>4</w:t>
            </w:r>
            <w:r>
              <w:rPr>
                <w:rFonts w:ascii="仿宋" w:hAnsi="仿宋" w:cs="仿宋" w:hint="eastAsia"/>
                <w:szCs w:val="24"/>
              </w:rPr>
              <w:t>、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配备校门“一键报警”设备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5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套：每套得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0</w:t>
            </w:r>
            <w:r>
              <w:rPr>
                <w:rFonts w:ascii="仿宋" w:eastAsia="仿宋" w:hAnsi="仿宋" w:cs="仿宋"/>
                <w:sz w:val="21"/>
                <w:szCs w:val="21"/>
              </w:rPr>
              <w:t>.2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分，满分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分；</w:t>
            </w:r>
          </w:p>
          <w:p w14:paraId="1D360D93" w14:textId="77777777" w:rsidR="00B908DA" w:rsidRDefault="00222876">
            <w:pPr>
              <w:pStyle w:val="a4"/>
              <w:shd w:val="clear" w:color="auto" w:fill="auto"/>
              <w:tabs>
                <w:tab w:val="left" w:pos="365"/>
              </w:tabs>
              <w:spacing w:line="240" w:lineRule="auto"/>
              <w:ind w:firstLineChars="0" w:firstLine="0"/>
              <w:jc w:val="both"/>
              <w:rPr>
                <w:rFonts w:ascii="仿宋" w:eastAsia="仿宋" w:hAnsi="仿宋" w:cs="仿宋"/>
                <w:sz w:val="21"/>
                <w:szCs w:val="21"/>
                <w:lang w:val="en-US"/>
              </w:rPr>
            </w:pPr>
            <w:r>
              <w:rPr>
                <w:rFonts w:ascii="仿宋" w:eastAsia="仿宋" w:hAnsi="仿宋" w:cs="仿宋"/>
                <w:sz w:val="21"/>
                <w:szCs w:val="21"/>
              </w:rPr>
              <w:t>5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、配备防冲撞设施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套</w:t>
            </w:r>
            <w:r>
              <w:rPr>
                <w:rFonts w:ascii="仿宋" w:eastAsia="仿宋" w:hAnsi="仿宋" w:cs="仿宋"/>
                <w:sz w:val="21"/>
                <w:szCs w:val="21"/>
              </w:rPr>
              <w:t>12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根（电动智能升降）：每套（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4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根）得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分，最多得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eastAsia="仿宋" w:hAnsi="仿宋" w:cs="仿宋" w:hint="eastAsia"/>
                <w:sz w:val="21"/>
                <w:szCs w:val="21"/>
              </w:rPr>
              <w:t>分。</w:t>
            </w:r>
          </w:p>
          <w:p w14:paraId="3DB3945C" w14:textId="77777777" w:rsidR="00B908DA" w:rsidRDefault="00222876">
            <w:pPr>
              <w:topLinePunct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注：本项要求提供配备设备设施各项的技术参数及实物图片，所提供图片须清晰可见，实物图像完整；非新购车辆需提供证明购车年限的有效证明材料。</w:t>
            </w:r>
          </w:p>
        </w:tc>
      </w:tr>
      <w:tr w:rsidR="00B908DA" w14:paraId="68B8207D" w14:textId="77777777">
        <w:trPr>
          <w:cantSplit/>
          <w:trHeight w:val="257"/>
          <w:jc w:val="center"/>
        </w:trPr>
        <w:tc>
          <w:tcPr>
            <w:tcW w:w="1276" w:type="dxa"/>
            <w:vMerge/>
            <w:vAlign w:val="center"/>
          </w:tcPr>
          <w:p w14:paraId="5A62F519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14:paraId="2161A6F6" w14:textId="77777777" w:rsidR="00B908DA" w:rsidRDefault="00222876">
            <w:pPr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/>
                <w:sz w:val="21"/>
                <w:szCs w:val="21"/>
              </w:rPr>
              <w:t>访客登记管理系统</w:t>
            </w:r>
          </w:p>
        </w:tc>
        <w:tc>
          <w:tcPr>
            <w:tcW w:w="826" w:type="dxa"/>
            <w:tcBorders>
              <w:top w:val="single" w:sz="4" w:space="0" w:color="auto"/>
            </w:tcBorders>
            <w:vAlign w:val="center"/>
          </w:tcPr>
          <w:p w14:paraId="3A4EEDE7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7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tcBorders>
              <w:top w:val="single" w:sz="4" w:space="0" w:color="auto"/>
            </w:tcBorders>
          </w:tcPr>
          <w:p w14:paraId="01099C26" w14:textId="77777777" w:rsidR="00B908DA" w:rsidRDefault="00222876">
            <w:pPr>
              <w:topLinePunct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根据采购需求设计符合青岛理工大学实际情况的</w:t>
            </w:r>
            <w:r>
              <w:rPr>
                <w:rFonts w:ascii="仿宋" w:hAnsi="仿宋" w:cs="仿宋"/>
                <w:sz w:val="21"/>
                <w:szCs w:val="21"/>
              </w:rPr>
              <w:t>访客登记管理系统</w:t>
            </w:r>
            <w:r>
              <w:rPr>
                <w:rFonts w:ascii="仿宋" w:hAnsi="仿宋" w:cs="仿宋" w:hint="eastAsia"/>
                <w:sz w:val="21"/>
                <w:szCs w:val="21"/>
              </w:rPr>
              <w:t>，投标文件中需提供设计思路以及可以实现的管理功能说明，并列出所需配套的硬件设备。根据响应内容，得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0-7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</w:tc>
      </w:tr>
      <w:tr w:rsidR="00B908DA" w14:paraId="535E3B95" w14:textId="77777777">
        <w:trPr>
          <w:cantSplit/>
          <w:trHeight w:val="567"/>
          <w:jc w:val="center"/>
        </w:trPr>
        <w:tc>
          <w:tcPr>
            <w:tcW w:w="1276" w:type="dxa"/>
            <w:vMerge/>
            <w:vAlign w:val="center"/>
          </w:tcPr>
          <w:p w14:paraId="7AC34E93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14:paraId="31AA49AD" w14:textId="77777777" w:rsidR="00B908DA" w:rsidRDefault="00222876">
            <w:pPr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服务方案</w:t>
            </w:r>
          </w:p>
        </w:tc>
        <w:tc>
          <w:tcPr>
            <w:tcW w:w="826" w:type="dxa"/>
            <w:vAlign w:val="center"/>
          </w:tcPr>
          <w:p w14:paraId="6CD93774" w14:textId="77777777" w:rsidR="00B908DA" w:rsidRDefault="00222876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/>
                <w:sz w:val="21"/>
                <w:szCs w:val="21"/>
              </w:rPr>
              <w:t>8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</w:tcPr>
          <w:p w14:paraId="64315387" w14:textId="77777777" w:rsidR="00B908DA" w:rsidRDefault="00222876">
            <w:pPr>
              <w:topLinePunct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针对投标人提供的整体服务方案（包括但不限于服务流程、管理措施、服务制度等）进行打分，服务优于项目需求、十分详尽的得</w:t>
            </w:r>
            <w:r>
              <w:rPr>
                <w:rFonts w:ascii="仿宋" w:hAnsi="仿宋" w:cs="仿宋"/>
                <w:sz w:val="21"/>
                <w:szCs w:val="21"/>
              </w:rPr>
              <w:t>8-6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分；整体服务方案符合采购文件要求且相对完备的，得</w:t>
            </w:r>
            <w:r>
              <w:rPr>
                <w:rFonts w:ascii="仿宋" w:hAnsi="仿宋" w:cs="仿宋"/>
                <w:sz w:val="21"/>
                <w:szCs w:val="21"/>
              </w:rPr>
              <w:t>5-3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分；整体服务方案基本满足采购人需求，内容欠缺的，得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2-1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分；没有不得分。</w:t>
            </w:r>
            <w:r>
              <w:rPr>
                <w:rFonts w:ascii="仿宋" w:hAnsi="仿宋" w:cs="仿宋" w:hint="eastAsia"/>
                <w:sz w:val="21"/>
                <w:szCs w:val="21"/>
              </w:rPr>
              <w:t xml:space="preserve"> </w:t>
            </w:r>
          </w:p>
        </w:tc>
      </w:tr>
      <w:tr w:rsidR="00B908DA" w14:paraId="303FD692" w14:textId="77777777">
        <w:trPr>
          <w:cantSplit/>
          <w:trHeight w:val="567"/>
          <w:jc w:val="center"/>
        </w:trPr>
        <w:tc>
          <w:tcPr>
            <w:tcW w:w="1276" w:type="dxa"/>
            <w:vMerge/>
            <w:vAlign w:val="center"/>
          </w:tcPr>
          <w:p w14:paraId="61209F4A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14:paraId="3B8BC3C2" w14:textId="77777777" w:rsidR="00B908DA" w:rsidRDefault="00222876">
            <w:pPr>
              <w:widowControl/>
              <w:tabs>
                <w:tab w:val="left" w:pos="504"/>
              </w:tabs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培训方案</w:t>
            </w:r>
          </w:p>
        </w:tc>
        <w:tc>
          <w:tcPr>
            <w:tcW w:w="826" w:type="dxa"/>
            <w:vAlign w:val="center"/>
          </w:tcPr>
          <w:p w14:paraId="7BE1B633" w14:textId="77777777" w:rsidR="00B908DA" w:rsidRDefault="00222876">
            <w:pPr>
              <w:widowControl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8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vAlign w:val="center"/>
          </w:tcPr>
          <w:p w14:paraId="1D17C2BB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）具备整个服务团队从业能力的培训教育方案，经评审得</w:t>
            </w:r>
            <w:r>
              <w:rPr>
                <w:rFonts w:ascii="仿宋" w:hAnsi="仿宋" w:cs="仿宋"/>
                <w:sz w:val="21"/>
                <w:szCs w:val="21"/>
              </w:rPr>
              <w:t>2-0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</w:p>
          <w:p w14:paraId="339651AE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）有切实可行的每月不少于一次的培训计划的，得</w:t>
            </w:r>
            <w:r>
              <w:rPr>
                <w:rFonts w:ascii="仿宋" w:hAnsi="仿宋" w:cs="仿宋"/>
                <w:sz w:val="21"/>
                <w:szCs w:val="21"/>
              </w:rPr>
              <w:t>2-0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</w:p>
          <w:p w14:paraId="28C86092" w14:textId="77777777" w:rsidR="00B908DA" w:rsidRDefault="00222876">
            <w:pPr>
              <w:pStyle w:val="a3"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）有合理可行的每日日常培训计划和方案的，得</w:t>
            </w:r>
            <w:r>
              <w:rPr>
                <w:rFonts w:ascii="仿宋" w:hAnsi="仿宋" w:cs="仿宋"/>
                <w:sz w:val="21"/>
                <w:szCs w:val="21"/>
              </w:rPr>
              <w:t>2-0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</w:p>
          <w:p w14:paraId="2A2D8B25" w14:textId="77777777" w:rsidR="00B908DA" w:rsidRDefault="00222876">
            <w:pPr>
              <w:pStyle w:val="a3"/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4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）有专门的培训部门、培训师资的，得</w:t>
            </w:r>
            <w:r>
              <w:rPr>
                <w:rFonts w:ascii="仿宋" w:hAnsi="仿宋" w:cs="仿宋"/>
                <w:sz w:val="21"/>
                <w:szCs w:val="21"/>
              </w:rPr>
              <w:t>2-0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</w:tc>
      </w:tr>
      <w:tr w:rsidR="00B908DA" w14:paraId="4993A43E" w14:textId="77777777">
        <w:trPr>
          <w:cantSplit/>
          <w:trHeight w:val="567"/>
          <w:jc w:val="center"/>
        </w:trPr>
        <w:tc>
          <w:tcPr>
            <w:tcW w:w="1276" w:type="dxa"/>
            <w:vMerge/>
            <w:vAlign w:val="center"/>
          </w:tcPr>
          <w:p w14:paraId="1C17677F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14:paraId="48EA3F6A" w14:textId="77777777" w:rsidR="00B908DA" w:rsidRDefault="00222876">
            <w:pPr>
              <w:widowControl/>
              <w:tabs>
                <w:tab w:val="left" w:pos="504"/>
              </w:tabs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管理标准及制度</w:t>
            </w:r>
          </w:p>
        </w:tc>
        <w:tc>
          <w:tcPr>
            <w:tcW w:w="826" w:type="dxa"/>
            <w:vAlign w:val="center"/>
          </w:tcPr>
          <w:p w14:paraId="5D8F9BE6" w14:textId="77777777" w:rsidR="00B908DA" w:rsidRDefault="00222876">
            <w:pPr>
              <w:widowControl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/>
                <w:sz w:val="21"/>
                <w:szCs w:val="21"/>
              </w:rPr>
              <w:t>5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vAlign w:val="center"/>
          </w:tcPr>
          <w:p w14:paraId="695CB0F3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根据学校安保工作的特点及采购需求，投标文件中提供管理标准及制度或办法等：</w:t>
            </w:r>
          </w:p>
          <w:p w14:paraId="23FD57C9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）针对本项目建立安保人员管理制度且合理可行的得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分，不合理或者没有的得</w:t>
            </w:r>
            <w:r>
              <w:rPr>
                <w:rFonts w:ascii="仿宋" w:hAnsi="仿宋" w:cs="仿宋" w:hint="eastAsia"/>
                <w:sz w:val="21"/>
                <w:szCs w:val="21"/>
              </w:rPr>
              <w:t>0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  <w:p w14:paraId="491D7703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）有安保服务标准，且与服务对象和环境相适应的得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分，不合理或者没有的得</w:t>
            </w:r>
            <w:r>
              <w:rPr>
                <w:rFonts w:ascii="仿宋" w:hAnsi="仿宋" w:cs="仿宋" w:hint="eastAsia"/>
                <w:sz w:val="21"/>
                <w:szCs w:val="21"/>
              </w:rPr>
              <w:t>0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  <w:p w14:paraId="0A6B8263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hAnsi="仿宋" w:cs="仿宋" w:hint="eastAsia"/>
                <w:sz w:val="21"/>
                <w:szCs w:val="21"/>
              </w:rPr>
              <w:t>）有不同安保岗位职责制度且合理可行的，得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分，否则本项不得分。</w:t>
            </w:r>
          </w:p>
          <w:p w14:paraId="5975D0B4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4</w:t>
            </w:r>
            <w:r>
              <w:rPr>
                <w:rFonts w:ascii="仿宋" w:hAnsi="仿宋" w:cs="仿宋" w:hint="eastAsia"/>
                <w:sz w:val="21"/>
                <w:szCs w:val="21"/>
              </w:rPr>
              <w:t>）建立安保人员考核制度，且合理可行的，得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分，否则本项不得分。</w:t>
            </w:r>
          </w:p>
          <w:p w14:paraId="17D460D6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5</w:t>
            </w:r>
            <w:r>
              <w:rPr>
                <w:rFonts w:ascii="仿宋" w:hAnsi="仿宋" w:cs="仿宋" w:hint="eastAsia"/>
                <w:sz w:val="21"/>
                <w:szCs w:val="21"/>
              </w:rPr>
              <w:t>）建立服务过程相关记录资料的信息管理及档案管理办法，且合理可行的，得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分，否则本项不得分。</w:t>
            </w:r>
          </w:p>
        </w:tc>
      </w:tr>
      <w:tr w:rsidR="00B908DA" w14:paraId="3F3FA411" w14:textId="77777777">
        <w:trPr>
          <w:cantSplit/>
          <w:trHeight w:val="567"/>
          <w:jc w:val="center"/>
        </w:trPr>
        <w:tc>
          <w:tcPr>
            <w:tcW w:w="1276" w:type="dxa"/>
            <w:vMerge/>
            <w:vAlign w:val="center"/>
          </w:tcPr>
          <w:p w14:paraId="4010C8B2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Merge w:val="restart"/>
            <w:vAlign w:val="center"/>
          </w:tcPr>
          <w:p w14:paraId="5EF03D43" w14:textId="77777777" w:rsidR="00B908DA" w:rsidRDefault="00222876">
            <w:pPr>
              <w:widowControl/>
              <w:tabs>
                <w:tab w:val="left" w:pos="504"/>
              </w:tabs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服务团队</w:t>
            </w:r>
          </w:p>
        </w:tc>
        <w:tc>
          <w:tcPr>
            <w:tcW w:w="826" w:type="dxa"/>
            <w:vAlign w:val="center"/>
          </w:tcPr>
          <w:p w14:paraId="416B230F" w14:textId="77777777" w:rsidR="00B908DA" w:rsidRDefault="00222876">
            <w:pPr>
              <w:widowControl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8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vAlign w:val="center"/>
          </w:tcPr>
          <w:p w14:paraId="462CC99F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提供详细的岗位及人员配备情况，满足或优于采购需求的，得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8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分，响应内容有缺漏或有负偏离内容的，每项扣</w:t>
            </w:r>
            <w:r>
              <w:rPr>
                <w:rFonts w:ascii="仿宋" w:hAnsi="仿宋" w:cs="仿宋" w:hint="eastAsia"/>
                <w:sz w:val="21"/>
                <w:szCs w:val="21"/>
              </w:rPr>
              <w:t>0.5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分，扣完为止。</w:t>
            </w:r>
          </w:p>
        </w:tc>
      </w:tr>
      <w:tr w:rsidR="00B908DA" w14:paraId="53AAB1B9" w14:textId="77777777">
        <w:trPr>
          <w:cantSplit/>
          <w:trHeight w:val="567"/>
          <w:jc w:val="center"/>
        </w:trPr>
        <w:tc>
          <w:tcPr>
            <w:tcW w:w="1276" w:type="dxa"/>
            <w:vMerge/>
            <w:vAlign w:val="center"/>
          </w:tcPr>
          <w:p w14:paraId="0785E8B6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Merge/>
            <w:vAlign w:val="center"/>
          </w:tcPr>
          <w:p w14:paraId="373D3B00" w14:textId="77777777" w:rsidR="00B908DA" w:rsidRDefault="00B908DA">
            <w:pPr>
              <w:widowControl/>
              <w:tabs>
                <w:tab w:val="left" w:pos="504"/>
              </w:tabs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826" w:type="dxa"/>
            <w:vAlign w:val="center"/>
          </w:tcPr>
          <w:p w14:paraId="430D4145" w14:textId="77777777" w:rsidR="00B908DA" w:rsidRDefault="00222876">
            <w:pPr>
              <w:widowControl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vAlign w:val="center"/>
          </w:tcPr>
          <w:p w14:paraId="6E8DDED6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服务团队中有</w:t>
            </w:r>
            <w:r>
              <w:rPr>
                <w:rFonts w:ascii="仿宋" w:hAnsi="仿宋" w:cs="仿宋" w:hint="eastAsia"/>
                <w:sz w:val="21"/>
                <w:szCs w:val="21"/>
              </w:rPr>
              <w:t>8</w:t>
            </w:r>
            <w:r>
              <w:rPr>
                <w:rFonts w:ascii="仿宋" w:hAnsi="仿宋" w:cs="仿宋" w:hint="eastAsia"/>
                <w:sz w:val="21"/>
                <w:szCs w:val="21"/>
              </w:rPr>
              <w:t>名以上（含</w:t>
            </w:r>
            <w:r>
              <w:rPr>
                <w:rFonts w:ascii="仿宋" w:hAnsi="仿宋" w:cs="仿宋" w:hint="eastAsia"/>
                <w:sz w:val="21"/>
                <w:szCs w:val="21"/>
              </w:rPr>
              <w:t>8</w:t>
            </w:r>
            <w:r>
              <w:rPr>
                <w:rFonts w:ascii="仿宋" w:hAnsi="仿宋" w:cs="仿宋" w:hint="eastAsia"/>
                <w:sz w:val="21"/>
                <w:szCs w:val="21"/>
              </w:rPr>
              <w:t>名）退伍军人的得</w:t>
            </w:r>
            <w:r>
              <w:rPr>
                <w:rFonts w:ascii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分；服务团队中有</w:t>
            </w:r>
            <w:r>
              <w:rPr>
                <w:rFonts w:ascii="仿宋" w:hAnsi="仿宋" w:cs="仿宋" w:hint="eastAsia"/>
                <w:sz w:val="21"/>
                <w:szCs w:val="21"/>
              </w:rPr>
              <w:t>5</w:t>
            </w:r>
            <w:r>
              <w:rPr>
                <w:rFonts w:ascii="仿宋" w:hAnsi="仿宋" w:cs="仿宋"/>
                <w:sz w:val="21"/>
                <w:szCs w:val="21"/>
              </w:rPr>
              <w:t>-7</w:t>
            </w:r>
            <w:r>
              <w:rPr>
                <w:rFonts w:ascii="仿宋" w:hAnsi="仿宋" w:cs="仿宋" w:hint="eastAsia"/>
                <w:sz w:val="21"/>
                <w:szCs w:val="21"/>
              </w:rPr>
              <w:t>名退伍军人的得</w:t>
            </w:r>
            <w:r>
              <w:rPr>
                <w:rFonts w:ascii="仿宋" w:hAnsi="仿宋" w:cs="仿宋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分；</w:t>
            </w:r>
            <w:r>
              <w:rPr>
                <w:rFonts w:ascii="仿宋" w:hAnsi="仿宋" w:cs="仿宋" w:hint="eastAsia"/>
                <w:sz w:val="21"/>
                <w:szCs w:val="21"/>
              </w:rPr>
              <w:t>4</w:t>
            </w:r>
            <w:r>
              <w:rPr>
                <w:rFonts w:ascii="仿宋" w:hAnsi="仿宋" w:cs="仿宋" w:hint="eastAsia"/>
                <w:sz w:val="21"/>
                <w:szCs w:val="21"/>
              </w:rPr>
              <w:t>名（含</w:t>
            </w:r>
            <w:r>
              <w:rPr>
                <w:rFonts w:ascii="仿宋" w:hAnsi="仿宋" w:cs="仿宋" w:hint="eastAsia"/>
                <w:sz w:val="21"/>
                <w:szCs w:val="21"/>
              </w:rPr>
              <w:t>4</w:t>
            </w:r>
            <w:r>
              <w:rPr>
                <w:rFonts w:ascii="仿宋" w:hAnsi="仿宋" w:cs="仿宋" w:hint="eastAsia"/>
                <w:sz w:val="21"/>
                <w:szCs w:val="21"/>
              </w:rPr>
              <w:t>名）以下不得分。（需提供主管部门出具的义务兵退出现役登记表或退伍证）</w:t>
            </w:r>
          </w:p>
        </w:tc>
      </w:tr>
      <w:tr w:rsidR="00B908DA" w14:paraId="30D246CF" w14:textId="77777777">
        <w:trPr>
          <w:cantSplit/>
          <w:trHeight w:val="567"/>
          <w:jc w:val="center"/>
        </w:trPr>
        <w:tc>
          <w:tcPr>
            <w:tcW w:w="1276" w:type="dxa"/>
            <w:vMerge/>
            <w:vAlign w:val="center"/>
          </w:tcPr>
          <w:p w14:paraId="5670FB52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Merge/>
            <w:vAlign w:val="center"/>
          </w:tcPr>
          <w:p w14:paraId="47664EF5" w14:textId="77777777" w:rsidR="00B908DA" w:rsidRDefault="00B908DA">
            <w:pPr>
              <w:widowControl/>
              <w:tabs>
                <w:tab w:val="left" w:pos="504"/>
              </w:tabs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826" w:type="dxa"/>
            <w:vAlign w:val="center"/>
          </w:tcPr>
          <w:p w14:paraId="3AEFE27F" w14:textId="77777777" w:rsidR="00B908DA" w:rsidRDefault="00222876">
            <w:pPr>
              <w:widowControl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vAlign w:val="center"/>
          </w:tcPr>
          <w:p w14:paraId="1FD105A5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32"/>
                <w:szCs w:val="22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除派驻本校的服务团队外，投标人具备便捷的应急响应服务能力，在特殊安保需要时，能迅速派出足够数量的有经验的增援人员，对此投标人有具体的优势的阐述和承诺，且合理可行的，得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分，其他情形得</w:t>
            </w:r>
            <w:r>
              <w:rPr>
                <w:rFonts w:ascii="仿宋" w:hAnsi="仿宋" w:cs="仿宋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</w:tc>
      </w:tr>
      <w:tr w:rsidR="00B908DA" w14:paraId="5A146276" w14:textId="77777777">
        <w:trPr>
          <w:cantSplit/>
          <w:trHeight w:val="567"/>
          <w:jc w:val="center"/>
        </w:trPr>
        <w:tc>
          <w:tcPr>
            <w:tcW w:w="1276" w:type="dxa"/>
            <w:vMerge/>
            <w:vAlign w:val="center"/>
          </w:tcPr>
          <w:p w14:paraId="0DF35210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Merge w:val="restart"/>
            <w:vAlign w:val="center"/>
          </w:tcPr>
          <w:p w14:paraId="4A9FE1A4" w14:textId="77777777" w:rsidR="00B908DA" w:rsidRDefault="00222876">
            <w:pPr>
              <w:widowControl/>
              <w:tabs>
                <w:tab w:val="left" w:pos="504"/>
              </w:tabs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保障措施</w:t>
            </w:r>
          </w:p>
        </w:tc>
        <w:tc>
          <w:tcPr>
            <w:tcW w:w="826" w:type="dxa"/>
            <w:vAlign w:val="center"/>
          </w:tcPr>
          <w:p w14:paraId="72A02266" w14:textId="77777777" w:rsidR="00B908DA" w:rsidRDefault="00222876">
            <w:pPr>
              <w:widowControl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6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vAlign w:val="center"/>
          </w:tcPr>
          <w:p w14:paraId="04548A63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1</w:t>
            </w:r>
            <w:r>
              <w:rPr>
                <w:rFonts w:ascii="仿宋" w:hAnsi="仿宋" w:cs="仿宋" w:hint="eastAsia"/>
                <w:sz w:val="21"/>
                <w:szCs w:val="21"/>
              </w:rPr>
              <w:t>）保安人员各季节服装配备合理、完备，提供证明材料，十分合理完备的得</w:t>
            </w:r>
            <w:r>
              <w:rPr>
                <w:rFonts w:ascii="仿宋" w:hAnsi="仿宋" w:cs="仿宋" w:hint="eastAsia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分，其他情形得</w:t>
            </w:r>
            <w:r>
              <w:rPr>
                <w:rFonts w:ascii="仿宋" w:hAnsi="仿宋" w:cs="仿宋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  <w:p w14:paraId="3A4D97A9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）办公设备配置、保安所需装备齐整、先进、成新率高，并与学校环境相适应的，得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分，其他情形得</w:t>
            </w:r>
            <w:r>
              <w:rPr>
                <w:rFonts w:ascii="仿宋" w:hAnsi="仿宋" w:cs="仿宋"/>
                <w:sz w:val="21"/>
                <w:szCs w:val="21"/>
              </w:rPr>
              <w:t>1-0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分。（附个人装备清单，未提供的不得分）</w:t>
            </w:r>
          </w:p>
          <w:p w14:paraId="4DC001DD" w14:textId="77777777" w:rsidR="00B908DA" w:rsidRDefault="00222876">
            <w:pPr>
              <w:spacing w:line="240" w:lineRule="auto"/>
              <w:ind w:firstLineChars="0" w:firstLine="0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 w:hint="eastAsia"/>
                <w:sz w:val="21"/>
                <w:szCs w:val="21"/>
              </w:rPr>
              <w:t>（</w:t>
            </w:r>
            <w:r>
              <w:rPr>
                <w:rFonts w:ascii="仿宋" w:hAnsi="仿宋" w:cs="仿宋" w:hint="eastAsia"/>
                <w:sz w:val="21"/>
                <w:szCs w:val="21"/>
              </w:rPr>
              <w:t>3</w:t>
            </w:r>
            <w:r>
              <w:rPr>
                <w:rFonts w:ascii="仿宋" w:hAnsi="仿宋" w:cs="仿宋" w:hint="eastAsia"/>
                <w:sz w:val="21"/>
                <w:szCs w:val="21"/>
              </w:rPr>
              <w:t>）投标人提供针对保安人员流失控制及时补充的方案，承诺在出现人员流失情况下七天内补充全部流失服务人员，且补充的人员可以胜任岗位工作的，得</w:t>
            </w:r>
            <w:r>
              <w:rPr>
                <w:rFonts w:ascii="仿宋" w:hAnsi="仿宋" w:cs="仿宋" w:hint="eastAsia"/>
                <w:sz w:val="21"/>
                <w:szCs w:val="21"/>
              </w:rPr>
              <w:t>2</w:t>
            </w:r>
            <w:r>
              <w:rPr>
                <w:rFonts w:ascii="仿宋" w:hAnsi="仿宋" w:cs="仿宋" w:hint="eastAsia"/>
                <w:sz w:val="21"/>
                <w:szCs w:val="21"/>
              </w:rPr>
              <w:t>分。</w:t>
            </w:r>
          </w:p>
        </w:tc>
      </w:tr>
      <w:tr w:rsidR="00B908DA" w14:paraId="4B09D3BC" w14:textId="77777777">
        <w:trPr>
          <w:cantSplit/>
          <w:trHeight w:val="567"/>
          <w:jc w:val="center"/>
        </w:trPr>
        <w:tc>
          <w:tcPr>
            <w:tcW w:w="1276" w:type="dxa"/>
            <w:vMerge/>
            <w:vAlign w:val="center"/>
          </w:tcPr>
          <w:p w14:paraId="5B122747" w14:textId="77777777" w:rsidR="00B908DA" w:rsidRDefault="00B908DA">
            <w:pPr>
              <w:topLinePunct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1226" w:type="dxa"/>
            <w:vMerge/>
            <w:vAlign w:val="center"/>
          </w:tcPr>
          <w:p w14:paraId="6279A389" w14:textId="77777777" w:rsidR="00B908DA" w:rsidRDefault="00B908DA">
            <w:pPr>
              <w:widowControl/>
              <w:tabs>
                <w:tab w:val="left" w:pos="504"/>
              </w:tabs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</w:p>
        </w:tc>
        <w:tc>
          <w:tcPr>
            <w:tcW w:w="826" w:type="dxa"/>
            <w:vAlign w:val="center"/>
          </w:tcPr>
          <w:p w14:paraId="6F83A951" w14:textId="77777777" w:rsidR="00B908DA" w:rsidRDefault="00222876">
            <w:pPr>
              <w:widowControl/>
              <w:spacing w:line="240" w:lineRule="auto"/>
              <w:ind w:firstLineChars="0" w:firstLine="0"/>
              <w:jc w:val="center"/>
              <w:rPr>
                <w:rFonts w:ascii="仿宋" w:hAnsi="仿宋" w:cs="仿宋"/>
                <w:sz w:val="21"/>
                <w:szCs w:val="21"/>
              </w:rPr>
            </w:pPr>
            <w:r>
              <w:rPr>
                <w:rFonts w:ascii="仿宋" w:hAnsi="仿宋" w:cs="仿宋"/>
                <w:sz w:val="21"/>
                <w:szCs w:val="21"/>
              </w:rPr>
              <w:t>4</w:t>
            </w:r>
            <w:r>
              <w:rPr>
                <w:rFonts w:ascii="仿宋" w:hAnsi="仿宋" w:cs="仿宋" w:hint="eastAsia"/>
                <w:sz w:val="21"/>
                <w:szCs w:val="21"/>
              </w:rPr>
              <w:t>分</w:t>
            </w:r>
          </w:p>
        </w:tc>
        <w:tc>
          <w:tcPr>
            <w:tcW w:w="6493" w:type="dxa"/>
            <w:vAlign w:val="center"/>
          </w:tcPr>
          <w:p w14:paraId="29036D81" w14:textId="77777777" w:rsidR="00B908DA" w:rsidRDefault="00222876">
            <w:pPr>
              <w:spacing w:line="240" w:lineRule="auto"/>
              <w:ind w:firstLineChars="0" w:firstLine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）为保证保安人员的利益和服务质量水平，供应商提供相应的保证措施，包括承诺给保安人员的实发工资、劳动保障、福利待遇等因素进行评审，得</w:t>
            </w:r>
            <w:r>
              <w:rPr>
                <w:rFonts w:ascii="仿宋" w:hAnsi="仿宋" w:cs="仿宋"/>
                <w:sz w:val="21"/>
                <w:szCs w:val="21"/>
              </w:rPr>
              <w:t>2-0</w:t>
            </w:r>
            <w:r>
              <w:rPr>
                <w:rFonts w:hint="eastAsia"/>
                <w:sz w:val="21"/>
                <w:szCs w:val="21"/>
              </w:rPr>
              <w:t>分；</w:t>
            </w:r>
          </w:p>
          <w:p w14:paraId="038CC90E" w14:textId="77777777" w:rsidR="00B908DA" w:rsidRDefault="00222876">
            <w:pPr>
              <w:spacing w:line="240" w:lineRule="auto"/>
              <w:ind w:firstLineChars="0" w:firstLine="0"/>
            </w:pPr>
            <w:r>
              <w:rPr>
                <w:rFonts w:hint="eastAsia"/>
                <w:sz w:val="21"/>
                <w:szCs w:val="21"/>
              </w:rPr>
              <w:t>（</w:t>
            </w: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）供应商提供顺利接管方案，且贴合实际需求的，得</w:t>
            </w: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分；接管方案基本合理，得</w:t>
            </w: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/>
                <w:sz w:val="21"/>
                <w:szCs w:val="21"/>
              </w:rPr>
              <w:t>分；没有不得分。</w:t>
            </w:r>
          </w:p>
        </w:tc>
      </w:tr>
    </w:tbl>
    <w:p w14:paraId="28AB65C4" w14:textId="053F0A3D" w:rsidR="00B908DA" w:rsidRDefault="007360E3">
      <w:pPr>
        <w:ind w:firstLine="480"/>
        <w:rPr>
          <w:rFonts w:ascii="仿宋" w:hAnsi="仿宋" w:cs="仿宋"/>
          <w:szCs w:val="24"/>
          <w:lang w:val="en-GB"/>
        </w:rPr>
      </w:pPr>
      <w:r>
        <w:rPr>
          <w:rFonts w:ascii="仿宋" w:hAnsi="仿宋" w:cs="仿宋" w:hint="eastAsia"/>
          <w:szCs w:val="24"/>
          <w:lang w:val="en-GB"/>
        </w:rPr>
        <w:t xml:space="preserve"> 备注： </w:t>
      </w:r>
    </w:p>
    <w:p w14:paraId="5E787C1B" w14:textId="0AE70590" w:rsidR="007360E3" w:rsidRPr="007360E3" w:rsidRDefault="007360E3" w:rsidP="007360E3">
      <w:pPr>
        <w:pStyle w:val="2"/>
        <w:ind w:firstLine="480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>
        <w:rPr>
          <w:rFonts w:hint="eastAsia"/>
          <w:lang w:val="en-GB"/>
        </w:rPr>
        <w:t>、</w:t>
      </w:r>
      <w:r w:rsidR="008E2A75">
        <w:rPr>
          <w:rFonts w:hint="eastAsia"/>
          <w:lang w:val="en-GB"/>
        </w:rPr>
        <w:t>根据项目管理要求，</w:t>
      </w:r>
      <w:r>
        <w:rPr>
          <w:rFonts w:hint="eastAsia"/>
          <w:lang w:val="en-GB"/>
        </w:rPr>
        <w:t>报价分可以上浮</w:t>
      </w:r>
      <w:r>
        <w:rPr>
          <w:rFonts w:hint="eastAsia"/>
          <w:lang w:val="en-GB"/>
        </w:rPr>
        <w:t>1</w:t>
      </w:r>
      <w:r>
        <w:rPr>
          <w:lang w:val="en-GB"/>
        </w:rPr>
        <w:t>0</w:t>
      </w:r>
      <w:r>
        <w:rPr>
          <w:rFonts w:hint="eastAsia"/>
          <w:lang w:val="en-GB"/>
        </w:rPr>
        <w:t>分</w:t>
      </w:r>
      <w:r w:rsidR="008E2A75">
        <w:rPr>
          <w:rFonts w:hint="eastAsia"/>
          <w:lang w:val="en-GB"/>
        </w:rPr>
        <w:t>，</w:t>
      </w:r>
      <w:r>
        <w:rPr>
          <w:rFonts w:hint="eastAsia"/>
          <w:lang w:val="en-GB"/>
        </w:rPr>
        <w:t>技术分可以下浮</w:t>
      </w:r>
      <w:r>
        <w:rPr>
          <w:rFonts w:hint="eastAsia"/>
          <w:lang w:val="en-GB"/>
        </w:rPr>
        <w:t>1</w:t>
      </w:r>
      <w:r>
        <w:rPr>
          <w:lang w:val="en-GB"/>
        </w:rPr>
        <w:t>0</w:t>
      </w:r>
      <w:r>
        <w:rPr>
          <w:rFonts w:hint="eastAsia"/>
          <w:lang w:val="en-GB"/>
        </w:rPr>
        <w:t>分。</w:t>
      </w:r>
    </w:p>
    <w:sectPr w:rsidR="007360E3" w:rsidRPr="007360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D0AC2" w14:textId="77777777" w:rsidR="00222876" w:rsidRDefault="00222876">
      <w:pPr>
        <w:spacing w:line="240" w:lineRule="auto"/>
        <w:ind w:firstLine="480"/>
      </w:pPr>
      <w:r>
        <w:separator/>
      </w:r>
    </w:p>
  </w:endnote>
  <w:endnote w:type="continuationSeparator" w:id="0">
    <w:p w14:paraId="6515DAD1" w14:textId="77777777" w:rsidR="00222876" w:rsidRDefault="00222876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MingLiU">
    <w:altName w:val="MingLiU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29BC1" w14:textId="77777777" w:rsidR="00222876" w:rsidRDefault="00222876">
      <w:pPr>
        <w:ind w:firstLine="480"/>
      </w:pPr>
      <w:r>
        <w:separator/>
      </w:r>
    </w:p>
  </w:footnote>
  <w:footnote w:type="continuationSeparator" w:id="0">
    <w:p w14:paraId="1EBB96FC" w14:textId="77777777" w:rsidR="00222876" w:rsidRDefault="00222876">
      <w:pPr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cyNTE0ZDU2NmM2M2RhMWRiMGRkNTUzNWJkNTBhMzEifQ=="/>
  </w:docVars>
  <w:rsids>
    <w:rsidRoot w:val="696064C8"/>
    <w:rsid w:val="00222876"/>
    <w:rsid w:val="007360E3"/>
    <w:rsid w:val="008E2A75"/>
    <w:rsid w:val="00B908DA"/>
    <w:rsid w:val="6960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27FA61"/>
  <w15:docId w15:val="{2E0B59EC-50C3-40F5-81D5-88030F4C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2"/>
    <w:qFormat/>
    <w:pPr>
      <w:widowControl w:val="0"/>
      <w:spacing w:line="360" w:lineRule="auto"/>
      <w:ind w:firstLineChars="200" w:firstLine="200"/>
    </w:pPr>
    <w:rPr>
      <w:rFonts w:ascii="Times New Roman" w:eastAsia="仿宋" w:hAnsi="Times New Roman" w:cs="Times New Roman"/>
      <w:kern w:val="2"/>
      <w:sz w:val="24"/>
    </w:rPr>
  </w:style>
  <w:style w:type="paragraph" w:styleId="20">
    <w:name w:val="heading 2"/>
    <w:basedOn w:val="a"/>
    <w:next w:val="a"/>
    <w:qFormat/>
    <w:pPr>
      <w:keepNext/>
      <w:keepLines/>
      <w:spacing w:beforeLines="2" w:before="2" w:afterLines="2" w:after="2"/>
      <w:outlineLvl w:val="1"/>
    </w:pPr>
    <w:rPr>
      <w:rFonts w:ascii="Arial" w:hAnsi="Arial"/>
      <w:b/>
      <w:kern w:val="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qFormat/>
    <w:pPr>
      <w:ind w:firstLine="630"/>
    </w:pPr>
    <w:rPr>
      <w:rFonts w:ascii="楷体_GB2312"/>
      <w:color w:val="000000"/>
      <w:szCs w:val="32"/>
    </w:rPr>
  </w:style>
  <w:style w:type="paragraph" w:styleId="a3">
    <w:name w:val="annotation text"/>
    <w:basedOn w:val="a"/>
    <w:qFormat/>
  </w:style>
  <w:style w:type="paragraph" w:customStyle="1" w:styleId="a4">
    <w:name w:val="其他"/>
    <w:basedOn w:val="a"/>
    <w:qFormat/>
    <w:pPr>
      <w:shd w:val="clear" w:color="auto" w:fill="FFFFFF"/>
      <w:spacing w:line="422" w:lineRule="auto"/>
      <w:ind w:firstLine="400"/>
    </w:pPr>
    <w:rPr>
      <w:rFonts w:ascii="MingLiU" w:eastAsia="MingLiU" w:hAnsi="MingLiU" w:cs="MingLiU"/>
      <w:bCs/>
      <w:sz w:val="2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364</Words>
  <Characters>2076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朱志刚</dc:creator>
  <cp:lastModifiedBy>邱菊</cp:lastModifiedBy>
  <cp:revision>2</cp:revision>
  <dcterms:created xsi:type="dcterms:W3CDTF">2022-05-17T08:00:00Z</dcterms:created>
  <dcterms:modified xsi:type="dcterms:W3CDTF">2022-05-17T08:00:00Z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16D7CBB7C55049E6BB4F0F77A22E0A4A</vt:lpwstr>
  </property>
</Properties>
</file>