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宋体" w:hAnsi="宋体" w:cs="宋体"/>
          <w:sz w:val="36"/>
          <w:szCs w:val="36"/>
        </w:rPr>
      </w:pPr>
      <w:r>
        <w:rPr>
          <w:rFonts w:hint="eastAsia" w:ascii="宋体" w:hAnsi="宋体" w:cs="宋体"/>
          <w:sz w:val="36"/>
          <w:szCs w:val="36"/>
        </w:rPr>
        <w:t>青岛理工大学房屋租赁合同</w:t>
      </w:r>
    </w:p>
    <w:p>
      <w:pPr>
        <w:adjustRightInd w:val="0"/>
        <w:snapToGrid w:val="0"/>
        <w:spacing w:line="360" w:lineRule="auto"/>
        <w:ind w:left="5625" w:leftChars="2679" w:firstLine="1334" w:firstLineChars="556"/>
        <w:rPr>
          <w:rFonts w:ascii="宋体" w:hAnsi="宋体" w:cs="宋体"/>
          <w:sz w:val="24"/>
        </w:rPr>
      </w:pPr>
    </w:p>
    <w:p>
      <w:pPr>
        <w:adjustRightInd w:val="0"/>
        <w:snapToGrid w:val="0"/>
        <w:spacing w:line="360" w:lineRule="auto"/>
        <w:ind w:firstLine="470" w:firstLineChars="196"/>
        <w:rPr>
          <w:rFonts w:ascii="宋体" w:hAnsi="宋体" w:cs="宋体"/>
          <w:sz w:val="24"/>
        </w:rPr>
      </w:pPr>
      <w:r>
        <w:rPr>
          <w:rFonts w:hint="eastAsia" w:ascii="宋体" w:hAnsi="宋体" w:cs="宋体"/>
          <w:sz w:val="24"/>
        </w:rPr>
        <w:t xml:space="preserve">                                     合同编号:</w:t>
      </w:r>
      <w:r>
        <w:rPr>
          <w:rFonts w:ascii="宋体" w:hAnsi="宋体" w:cs="宋体"/>
          <w:sz w:val="24"/>
        </w:rPr>
        <w:t xml:space="preserve"> </w:t>
      </w:r>
      <w:r>
        <w:rPr>
          <w:rFonts w:hint="eastAsia" w:ascii="宋体" w:hAnsi="宋体" w:cs="宋体"/>
          <w:sz w:val="24"/>
        </w:rPr>
        <w:t xml:space="preserve"> </w:t>
      </w:r>
    </w:p>
    <w:p>
      <w:pPr>
        <w:adjustRightInd w:val="0"/>
        <w:snapToGrid w:val="0"/>
        <w:spacing w:line="360" w:lineRule="auto"/>
        <w:ind w:firstLine="470" w:firstLineChars="196"/>
        <w:rPr>
          <w:rFonts w:ascii="宋体" w:hAnsi="宋体" w:cs="宋体"/>
          <w:sz w:val="24"/>
        </w:rPr>
      </w:pPr>
      <w:r>
        <w:rPr>
          <w:rFonts w:hint="eastAsia" w:ascii="宋体" w:hAnsi="宋体" w:cs="宋体"/>
          <w:sz w:val="24"/>
        </w:rPr>
        <w:t>　　　　　　　　　　                 签订地点：</w:t>
      </w:r>
      <w:r>
        <w:rPr>
          <w:rFonts w:hint="eastAsia" w:ascii="宋体" w:hAnsi="宋体"/>
          <w:color w:val="000000"/>
          <w:sz w:val="24"/>
        </w:rPr>
        <w:t>青岛市     区</w:t>
      </w:r>
    </w:p>
    <w:p>
      <w:pPr>
        <w:adjustRightInd w:val="0"/>
        <w:snapToGrid w:val="0"/>
        <w:spacing w:after="234" w:line="360" w:lineRule="auto"/>
        <w:ind w:firstLine="480" w:firstLineChars="200"/>
        <w:rPr>
          <w:rFonts w:ascii="宋体" w:hAnsi="宋体" w:cs="宋体"/>
          <w:sz w:val="24"/>
        </w:rPr>
      </w:pPr>
      <w:r>
        <w:rPr>
          <w:rFonts w:hint="eastAsia" w:ascii="宋体" w:hAnsi="宋体" w:cs="宋体"/>
          <w:sz w:val="24"/>
        </w:rPr>
        <w:t xml:space="preserve">                  　                 签订时间：　　年　　月　　日　</w:t>
      </w:r>
    </w:p>
    <w:p>
      <w:pPr>
        <w:adjustRightInd w:val="0"/>
        <w:snapToGrid w:val="0"/>
        <w:spacing w:after="234" w:line="360" w:lineRule="auto"/>
        <w:rPr>
          <w:rFonts w:ascii="宋体" w:hAnsi="宋体" w:cs="宋体"/>
          <w:b/>
          <w:bCs/>
          <w:sz w:val="24"/>
        </w:rPr>
      </w:pPr>
      <w:r>
        <w:rPr>
          <w:rFonts w:hint="eastAsia" w:ascii="宋体" w:hAnsi="宋体" w:cs="宋体"/>
          <w:b/>
          <w:bCs/>
          <w:sz w:val="24"/>
        </w:rPr>
        <w:t xml:space="preserve">出租方（甲方）：青岛理工大学   </w:t>
      </w:r>
    </w:p>
    <w:p>
      <w:pPr>
        <w:adjustRightInd w:val="0"/>
        <w:snapToGrid w:val="0"/>
        <w:spacing w:after="234" w:line="360" w:lineRule="auto"/>
        <w:rPr>
          <w:rFonts w:ascii="宋体" w:hAnsi="宋体" w:cs="宋体"/>
          <w:b/>
          <w:bCs/>
          <w:sz w:val="24"/>
        </w:rPr>
      </w:pPr>
      <w:r>
        <w:rPr>
          <w:rFonts w:hint="eastAsia" w:ascii="宋体" w:hAnsi="宋体" w:cs="宋体"/>
          <w:b/>
          <w:bCs/>
          <w:sz w:val="24"/>
        </w:rPr>
        <w:t>承租方（乙方）：</w:t>
      </w:r>
    </w:p>
    <w:p>
      <w:pPr>
        <w:adjustRightInd w:val="0"/>
        <w:snapToGrid w:val="0"/>
        <w:spacing w:after="234" w:line="360" w:lineRule="auto"/>
        <w:ind w:firstLine="480" w:firstLineChars="200"/>
        <w:rPr>
          <w:rFonts w:ascii="宋体" w:hAnsi="宋体" w:cs="宋体"/>
          <w:sz w:val="24"/>
        </w:rPr>
      </w:pPr>
      <w:r>
        <w:rPr>
          <w:rFonts w:hint="eastAsia" w:ascii="宋体" w:hAnsi="宋体" w:cs="宋体"/>
          <w:sz w:val="24"/>
        </w:rPr>
        <w:t>依据《中华人民共和国民法典》、《山东省行政事业单位国有资产有偿使用管理暂行办法》（鲁财资〔2010〕50号）及有关法律、法规和规章制度，甲乙双方在平等、自愿的基础上，就房屋租赁的有关事宜达成协议如下：</w:t>
      </w:r>
    </w:p>
    <w:p>
      <w:pPr>
        <w:pStyle w:val="4"/>
        <w:numPr>
          <w:ilvl w:val="0"/>
          <w:numId w:val="1"/>
        </w:numPr>
        <w:adjustRightInd w:val="0"/>
        <w:snapToGrid w:val="0"/>
        <w:spacing w:line="360" w:lineRule="auto"/>
        <w:rPr>
          <w:rFonts w:ascii="宋体" w:hAnsi="宋体" w:cs="宋体"/>
        </w:rPr>
      </w:pPr>
      <w:r>
        <w:rPr>
          <w:rFonts w:hint="eastAsia" w:ascii="宋体" w:hAnsi="宋体" w:cs="宋体"/>
        </w:rPr>
        <w:t>　房屋基本情况</w:t>
      </w:r>
    </w:p>
    <w:p>
      <w:pPr>
        <w:adjustRightInd w:val="0"/>
        <w:snapToGrid w:val="0"/>
        <w:spacing w:line="360" w:lineRule="auto"/>
        <w:ind w:firstLine="471"/>
        <w:rPr>
          <w:rFonts w:ascii="宋体" w:hAnsi="宋体" w:cs="宋体"/>
          <w:sz w:val="24"/>
          <w:u w:val="single"/>
        </w:rPr>
      </w:pPr>
      <w:r>
        <w:rPr>
          <w:rFonts w:hint="eastAsia" w:ascii="宋体" w:hAnsi="宋体" w:cs="宋体"/>
          <w:sz w:val="24"/>
        </w:rPr>
        <w:t>该房屋坐落于：</w:t>
      </w:r>
      <w:r>
        <w:rPr>
          <w:rFonts w:hint="eastAsia" w:ascii="宋体" w:hAnsi="宋体" w:cs="宋体"/>
          <w:sz w:val="24"/>
          <w:u w:val="single"/>
        </w:rPr>
        <w:t xml:space="preserve">                  </w:t>
      </w:r>
      <w:r>
        <w:rPr>
          <w:rFonts w:hint="eastAsia" w:ascii="宋体" w:hAnsi="宋体" w:cs="宋体"/>
          <w:sz w:val="24"/>
        </w:rPr>
        <w:t>。</w:t>
      </w:r>
    </w:p>
    <w:p>
      <w:pPr>
        <w:adjustRightInd w:val="0"/>
        <w:snapToGrid w:val="0"/>
        <w:spacing w:line="360" w:lineRule="auto"/>
        <w:ind w:firstLine="471"/>
        <w:rPr>
          <w:rFonts w:ascii="宋体" w:hAnsi="宋体" w:cs="宋体"/>
          <w:sz w:val="24"/>
        </w:rPr>
      </w:pPr>
      <w:r>
        <w:rPr>
          <w:rFonts w:hint="eastAsia" w:ascii="宋体" w:hAnsi="宋体" w:cs="宋体"/>
          <w:sz w:val="24"/>
        </w:rPr>
        <w:t>该房屋：使用面积共计</w:t>
      </w:r>
      <w:r>
        <w:rPr>
          <w:rFonts w:hint="eastAsia" w:ascii="宋体" w:hAnsi="宋体" w:cs="宋体"/>
          <w:sz w:val="24"/>
          <w:u w:val="single"/>
        </w:rPr>
        <w:t xml:space="preserve">       </w:t>
      </w:r>
      <w:r>
        <w:rPr>
          <w:rFonts w:hint="eastAsia" w:ascii="宋体" w:hAnsi="宋体" w:cs="宋体"/>
          <w:sz w:val="24"/>
        </w:rPr>
        <w:t>平方米。</w:t>
      </w:r>
    </w:p>
    <w:p>
      <w:pPr>
        <w:adjustRightInd w:val="0"/>
        <w:snapToGrid w:val="0"/>
        <w:spacing w:line="360" w:lineRule="auto"/>
        <w:ind w:firstLine="471"/>
        <w:rPr>
          <w:rFonts w:ascii="宋体" w:hAnsi="宋体" w:cs="宋体"/>
          <w:sz w:val="24"/>
        </w:rPr>
      </w:pPr>
      <w:r>
        <w:rPr>
          <w:rFonts w:hint="eastAsia" w:ascii="宋体" w:hAnsi="宋体" w:cs="宋体"/>
          <w:sz w:val="24"/>
        </w:rPr>
        <w:t>装修状况：</w:t>
      </w:r>
      <w:r>
        <w:rPr>
          <w:rFonts w:ascii="宋体" w:hAnsi="宋体" w:cs="宋体"/>
          <w:sz w:val="24"/>
          <w:u w:val="single"/>
        </w:rPr>
        <w:t xml:space="preserve">                      </w:t>
      </w:r>
      <w:r>
        <w:rPr>
          <w:rFonts w:hint="eastAsia" w:ascii="宋体" w:hAnsi="宋体" w:cs="宋体"/>
          <w:sz w:val="24"/>
        </w:rPr>
        <w:t>。</w:t>
      </w:r>
    </w:p>
    <w:p>
      <w:pPr>
        <w:adjustRightInd w:val="0"/>
        <w:snapToGrid w:val="0"/>
        <w:spacing w:line="360" w:lineRule="auto"/>
        <w:ind w:firstLine="471"/>
        <w:rPr>
          <w:rFonts w:ascii="宋体" w:hAnsi="宋体" w:cs="宋体"/>
          <w:b/>
          <w:sz w:val="24"/>
        </w:rPr>
      </w:pPr>
      <w:r>
        <w:rPr>
          <w:rFonts w:hint="eastAsia" w:ascii="宋体" w:hAnsi="宋体" w:cs="宋体"/>
          <w:sz w:val="24"/>
        </w:rPr>
        <w:t>甲方承诺出租该房屋的行为已经有权机构批准，且该房屋产权清晰，未设定抵押等担保方式，未涉及法律诉讼。</w:t>
      </w:r>
    </w:p>
    <w:p>
      <w:pPr>
        <w:pStyle w:val="4"/>
        <w:numPr>
          <w:ilvl w:val="0"/>
          <w:numId w:val="1"/>
        </w:numPr>
        <w:adjustRightInd w:val="0"/>
        <w:snapToGrid w:val="0"/>
        <w:spacing w:line="360" w:lineRule="auto"/>
        <w:rPr>
          <w:rFonts w:ascii="宋体" w:hAnsi="宋体" w:cs="宋体"/>
        </w:rPr>
      </w:pPr>
      <w:r>
        <w:rPr>
          <w:rFonts w:hint="eastAsia" w:ascii="宋体" w:hAnsi="宋体" w:cs="宋体"/>
        </w:rPr>
        <w:t xml:space="preserve">  租赁期限                   </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房屋租赁期限自[   ]年[     ]月[     ]日至[    ]年[    ]月[   ]日,共</w:t>
      </w:r>
      <w:r>
        <w:rPr>
          <w:rFonts w:hint="eastAsia" w:ascii="宋体" w:hAnsi="宋体" w:cs="宋体"/>
          <w:sz w:val="24"/>
          <w:u w:val="single"/>
        </w:rPr>
        <w:t xml:space="preserve">     </w:t>
      </w:r>
      <w:r>
        <w:rPr>
          <w:rFonts w:hint="eastAsia" w:ascii="宋体" w:hAnsi="宋体" w:cs="宋体"/>
          <w:sz w:val="24"/>
        </w:rPr>
        <w:t>年。</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租赁合同期满，乙方应如期交还所租赁房屋；乙方逾期不交还的，甲方有权收回所租赁房屋。 </w:t>
      </w:r>
    </w:p>
    <w:p>
      <w:pPr>
        <w:pStyle w:val="4"/>
        <w:numPr>
          <w:ilvl w:val="0"/>
          <w:numId w:val="1"/>
        </w:numPr>
        <w:adjustRightInd w:val="0"/>
        <w:snapToGrid w:val="0"/>
        <w:spacing w:line="360" w:lineRule="auto"/>
        <w:rPr>
          <w:rFonts w:ascii="宋体" w:hAnsi="宋体" w:cs="宋体"/>
        </w:rPr>
      </w:pPr>
      <w:r>
        <w:rPr>
          <w:rFonts w:hint="eastAsia" w:ascii="宋体" w:hAnsi="宋体" w:cs="宋体"/>
        </w:rPr>
        <w:t>　租金、租金支付期限及方式</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（一）</w:t>
      </w:r>
      <w:r>
        <w:rPr>
          <w:rFonts w:hint="eastAsia" w:ascii="宋体" w:hAnsi="宋体" w:cs="宋体"/>
          <w:b/>
          <w:sz w:val="24"/>
        </w:rPr>
        <w:t>租金：</w:t>
      </w:r>
      <w:r>
        <w:rPr>
          <w:rFonts w:hint="eastAsia" w:ascii="宋体" w:hAnsi="宋体" w:cs="宋体"/>
          <w:sz w:val="24"/>
        </w:rPr>
        <w:t>年租金人民币（大写）:</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元）（日租金=年租金/365）；租赁期内租金总额为人民币（大写）:</w:t>
      </w:r>
      <w:r>
        <w:rPr>
          <w:rFonts w:hint="eastAsia" w:ascii="宋体" w:hAnsi="宋体" w:cs="宋体"/>
          <w:sz w:val="24"/>
          <w:u w:val="single"/>
        </w:rPr>
        <w:t xml:space="preserve">        元整</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元）。</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（二）</w:t>
      </w:r>
      <w:r>
        <w:rPr>
          <w:rFonts w:hint="eastAsia" w:ascii="宋体" w:hAnsi="宋体" w:cs="宋体"/>
          <w:b/>
          <w:sz w:val="24"/>
        </w:rPr>
        <w:t>支付期限：                              。</w:t>
      </w:r>
      <w:r>
        <w:rPr>
          <w:rFonts w:hint="eastAsia" w:ascii="宋体" w:hAnsi="宋体" w:cs="宋体"/>
          <w:sz w:val="24"/>
        </w:rPr>
        <w:t>租金每年一次性缴纳，乙方在本合同签订</w:t>
      </w:r>
      <w:r>
        <w:rPr>
          <w:rFonts w:ascii="宋体" w:hAnsi="宋体" w:cs="宋体"/>
          <w:sz w:val="24"/>
        </w:rPr>
        <w:t>5</w:t>
      </w:r>
      <w:r>
        <w:rPr>
          <w:rFonts w:hint="eastAsia" w:ascii="宋体" w:hAnsi="宋体" w:cs="宋体"/>
          <w:sz w:val="24"/>
        </w:rPr>
        <w:t>个工作日内交纳第一年租金￥</w:t>
      </w:r>
      <w:r>
        <w:rPr>
          <w:rFonts w:ascii="宋体" w:hAnsi="宋体" w:cs="宋体"/>
          <w:sz w:val="24"/>
        </w:rPr>
        <w:t xml:space="preserve"> </w:t>
      </w:r>
      <w:r>
        <w:rPr>
          <w:rFonts w:ascii="宋体" w:hAnsi="宋体" w:cs="宋体"/>
          <w:sz w:val="24"/>
          <w:u w:val="single"/>
        </w:rPr>
        <w:t xml:space="preserve">    </w:t>
      </w:r>
      <w:r>
        <w:rPr>
          <w:rFonts w:hint="eastAsia" w:ascii="宋体" w:hAnsi="宋体" w:cs="宋体"/>
          <w:sz w:val="24"/>
        </w:rPr>
        <w:t>元；之后每年租金，乙方须于每个支付期前[ 30 ]日内将下一期租金一次性交纳。</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（三）</w:t>
      </w:r>
      <w:r>
        <w:rPr>
          <w:rFonts w:hint="eastAsia" w:ascii="宋体" w:hAnsi="宋体" w:cs="宋体"/>
          <w:b/>
          <w:sz w:val="24"/>
        </w:rPr>
        <w:t>支付方式：                              。</w:t>
      </w:r>
    </w:p>
    <w:p>
      <w:pPr>
        <w:widowControl/>
        <w:tabs>
          <w:tab w:val="left" w:pos="0"/>
        </w:tabs>
        <w:adjustRightInd w:val="0"/>
        <w:snapToGrid w:val="0"/>
        <w:spacing w:line="360" w:lineRule="auto"/>
        <w:ind w:firstLine="480" w:firstLineChars="200"/>
        <w:rPr>
          <w:rFonts w:ascii="宋体" w:hAnsi="宋体" w:cs="宋体"/>
          <w:sz w:val="24"/>
        </w:rPr>
      </w:pPr>
      <w:r>
        <w:rPr>
          <w:rFonts w:hint="eastAsia" w:ascii="宋体" w:hAnsi="宋体" w:cs="宋体"/>
          <w:sz w:val="24"/>
        </w:rPr>
        <w:t>乙方可以现金、支票、银行汇款等方式向甲方缴纳租金，甲方应在乙方缴纳租金前</w:t>
      </w:r>
      <w:r>
        <w:rPr>
          <w:rFonts w:ascii="宋体" w:hAnsi="宋体" w:cs="宋体"/>
          <w:sz w:val="24"/>
        </w:rPr>
        <w:t>15</w:t>
      </w:r>
      <w:r>
        <w:rPr>
          <w:rFonts w:hint="eastAsia" w:ascii="宋体" w:hAnsi="宋体" w:cs="宋体"/>
          <w:sz w:val="24"/>
        </w:rPr>
        <w:t>日向乙方开据合法票据，甲方开具有效票据前乙方有权不予支付租金且不得因此而被视为违约。</w:t>
      </w:r>
    </w:p>
    <w:p>
      <w:pPr>
        <w:pStyle w:val="4"/>
        <w:numPr>
          <w:ilvl w:val="0"/>
          <w:numId w:val="1"/>
        </w:numPr>
        <w:adjustRightInd w:val="0"/>
        <w:snapToGrid w:val="0"/>
        <w:spacing w:line="360" w:lineRule="auto"/>
        <w:rPr>
          <w:rFonts w:ascii="宋体" w:hAnsi="宋体" w:cs="宋体"/>
        </w:rPr>
      </w:pPr>
      <w:r>
        <w:rPr>
          <w:rFonts w:hint="eastAsia" w:ascii="宋体" w:hAnsi="宋体" w:cs="宋体"/>
        </w:rPr>
        <w:t>　房屋租赁用途</w:t>
      </w:r>
    </w:p>
    <w:p>
      <w:pPr>
        <w:adjustRightInd w:val="0"/>
        <w:snapToGrid w:val="0"/>
        <w:spacing w:line="360" w:lineRule="auto"/>
        <w:ind w:firstLine="471"/>
        <w:rPr>
          <w:rFonts w:ascii="宋体" w:hAnsi="宋体" w:cs="宋体"/>
          <w:sz w:val="24"/>
        </w:rPr>
      </w:pPr>
      <w:r>
        <w:rPr>
          <w:rFonts w:hint="eastAsia" w:ascii="宋体" w:hAnsi="宋体" w:cs="宋体"/>
          <w:sz w:val="24"/>
        </w:rPr>
        <w:t>乙方承租该房屋用途为：</w:t>
      </w:r>
      <w:r>
        <w:rPr>
          <w:rFonts w:ascii="宋体" w:hAnsi="宋体" w:cs="宋体"/>
          <w:sz w:val="24"/>
          <w:u w:val="single"/>
        </w:rPr>
        <w:t xml:space="preserve"> </w:t>
      </w:r>
      <w:r>
        <w:rPr>
          <w:rFonts w:hint="eastAsia" w:ascii="宋体" w:hAnsi="宋体" w:cs="宋体"/>
          <w:color w:val="FF0000"/>
          <w:sz w:val="24"/>
          <w:u w:val="single"/>
        </w:rPr>
        <w:t>例如：</w:t>
      </w:r>
      <w:r>
        <w:rPr>
          <w:rFonts w:ascii="宋体" w:hAnsi="宋体" w:cs="宋体"/>
          <w:color w:val="FF0000"/>
          <w:sz w:val="24"/>
          <w:u w:val="single"/>
          <w:shd w:val="clear" w:color="auto" w:fill="FFFFFF"/>
        </w:rPr>
        <w:t>大型连锁超市</w:t>
      </w:r>
      <w:r>
        <w:rPr>
          <w:rFonts w:ascii="宋体" w:hAnsi="宋体" w:cs="宋体"/>
          <w:sz w:val="24"/>
          <w:u w:val="single"/>
        </w:rPr>
        <w:t xml:space="preserve"> </w:t>
      </w:r>
      <w:r>
        <w:rPr>
          <w:rFonts w:hint="eastAsia" w:ascii="宋体" w:hAnsi="宋体" w:cs="宋体"/>
          <w:sz w:val="24"/>
        </w:rPr>
        <w:t xml:space="preserve">。 </w:t>
      </w:r>
    </w:p>
    <w:p>
      <w:pPr>
        <w:adjustRightInd w:val="0"/>
        <w:snapToGrid w:val="0"/>
        <w:spacing w:line="360" w:lineRule="auto"/>
        <w:ind w:firstLine="471"/>
        <w:rPr>
          <w:rFonts w:ascii="宋体" w:hAnsi="宋体" w:cs="宋体"/>
          <w:sz w:val="24"/>
        </w:rPr>
      </w:pPr>
      <w:r>
        <w:rPr>
          <w:rFonts w:hint="eastAsia" w:ascii="宋体" w:hAnsi="宋体" w:cs="宋体"/>
          <w:b/>
          <w:sz w:val="24"/>
        </w:rPr>
        <w:t xml:space="preserve">允许经营项目： </w:t>
      </w:r>
      <w:r>
        <w:rPr>
          <w:rFonts w:ascii="宋体" w:hAnsi="宋体" w:cs="宋体"/>
          <w:b/>
          <w:sz w:val="24"/>
        </w:rPr>
        <w:t xml:space="preserve">                                              </w:t>
      </w:r>
      <w:r>
        <w:rPr>
          <w:rFonts w:hint="eastAsia" w:ascii="宋体" w:hAnsi="宋体" w:cs="宋体"/>
          <w:b/>
          <w:sz w:val="24"/>
        </w:rPr>
        <w:t>等</w:t>
      </w:r>
      <w:r>
        <w:rPr>
          <w:rFonts w:ascii="宋体" w:hAnsi="宋体" w:cs="宋体"/>
          <w:b/>
          <w:sz w:val="24"/>
        </w:rPr>
        <w:t xml:space="preserve"> </w:t>
      </w:r>
      <w:r>
        <w:rPr>
          <w:rFonts w:hint="eastAsia" w:ascii="宋体" w:hAnsi="宋体" w:cs="宋体"/>
          <w:b/>
          <w:sz w:val="24"/>
        </w:rPr>
        <w:t>。</w:t>
      </w:r>
      <w:r>
        <w:rPr>
          <w:rFonts w:hint="eastAsia" w:ascii="宋体" w:hAnsi="宋体" w:cs="宋体"/>
          <w:sz w:val="24"/>
        </w:rPr>
        <w:t xml:space="preserve"> </w:t>
      </w:r>
    </w:p>
    <w:p>
      <w:pPr>
        <w:adjustRightInd w:val="0"/>
        <w:snapToGrid w:val="0"/>
        <w:spacing w:line="360" w:lineRule="auto"/>
        <w:ind w:firstLine="471"/>
        <w:rPr>
          <w:rFonts w:ascii="宋体" w:hAnsi="宋体" w:cs="宋体"/>
          <w:sz w:val="24"/>
        </w:rPr>
      </w:pPr>
      <w:r>
        <w:rPr>
          <w:rFonts w:hint="eastAsia" w:ascii="宋体" w:hAnsi="宋体" w:cs="宋体"/>
          <w:sz w:val="24"/>
        </w:rPr>
        <w:t xml:space="preserve">禁止售卖： </w:t>
      </w:r>
      <w:r>
        <w:rPr>
          <w:rFonts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等</w:t>
      </w:r>
      <w:r>
        <w:rPr>
          <w:rFonts w:ascii="宋体" w:hAnsi="宋体" w:cs="宋体"/>
          <w:sz w:val="24"/>
        </w:rPr>
        <w:t>。</w:t>
      </w:r>
    </w:p>
    <w:p>
      <w:pPr>
        <w:adjustRightInd w:val="0"/>
        <w:snapToGrid w:val="0"/>
        <w:spacing w:line="360" w:lineRule="auto"/>
        <w:ind w:firstLine="471"/>
        <w:rPr>
          <w:rFonts w:ascii="宋体" w:hAnsi="宋体" w:cs="宋体"/>
          <w:sz w:val="24"/>
        </w:rPr>
      </w:pPr>
      <w:r>
        <w:rPr>
          <w:rFonts w:hint="eastAsia" w:ascii="宋体" w:hAnsi="宋体" w:cs="宋体"/>
          <w:sz w:val="24"/>
        </w:rPr>
        <w:t>在租赁期内未征得甲方书面同意，乙方不得擅自改变该房屋的用途，不得转租或分租给第三方。</w:t>
      </w:r>
    </w:p>
    <w:p>
      <w:pPr>
        <w:adjustRightInd w:val="0"/>
        <w:snapToGrid w:val="0"/>
        <w:spacing w:line="360" w:lineRule="auto"/>
        <w:ind w:firstLine="471"/>
        <w:rPr>
          <w:rFonts w:ascii="宋体" w:hAnsi="宋体" w:cs="宋体"/>
          <w:sz w:val="24"/>
        </w:rPr>
      </w:pPr>
      <w:r>
        <w:rPr>
          <w:rFonts w:hint="eastAsia" w:ascii="宋体" w:hAnsi="宋体" w:cs="宋体"/>
          <w:sz w:val="24"/>
        </w:rPr>
        <w:t>乙方承诺使用承租房屋从事的各项活动均符合国家法律、法规和有关规定，并独立承担完全责任。</w:t>
      </w:r>
    </w:p>
    <w:p>
      <w:pPr>
        <w:pStyle w:val="4"/>
        <w:numPr>
          <w:ilvl w:val="0"/>
          <w:numId w:val="1"/>
        </w:numPr>
        <w:adjustRightInd w:val="0"/>
        <w:snapToGrid w:val="0"/>
        <w:spacing w:line="360" w:lineRule="auto"/>
        <w:rPr>
          <w:rFonts w:ascii="宋体" w:hAnsi="宋体" w:cs="宋体"/>
        </w:rPr>
      </w:pPr>
      <w:r>
        <w:rPr>
          <w:rFonts w:hint="eastAsia" w:ascii="宋体" w:hAnsi="宋体" w:cs="宋体"/>
        </w:rPr>
        <w:t>　房屋维护及修缮</w:t>
      </w:r>
    </w:p>
    <w:p>
      <w:pPr>
        <w:pStyle w:val="17"/>
        <w:numPr>
          <w:ilvl w:val="0"/>
          <w:numId w:val="2"/>
        </w:numPr>
        <w:spacing w:line="400" w:lineRule="exact"/>
        <w:ind w:firstLineChars="0"/>
        <w:rPr>
          <w:rFonts w:ascii="宋体" w:hAnsi="宋体"/>
          <w:color w:val="000000"/>
        </w:rPr>
      </w:pPr>
      <w:r>
        <w:rPr>
          <w:rFonts w:hint="eastAsia" w:ascii="宋体" w:hAnsi="宋体"/>
          <w:color w:val="000000"/>
        </w:rPr>
        <w:t>甲方负责维修的范围、时间及费用负担：</w:t>
      </w:r>
    </w:p>
    <w:p>
      <w:pPr>
        <w:spacing w:line="400" w:lineRule="exact"/>
        <w:ind w:firstLine="480" w:firstLineChars="200"/>
        <w:rPr>
          <w:rFonts w:ascii="宋体" w:hAnsi="宋体" w:cs="宋体"/>
          <w:sz w:val="24"/>
        </w:rPr>
      </w:pPr>
      <w:r>
        <w:rPr>
          <w:rFonts w:hint="eastAsia" w:ascii="宋体" w:hAnsi="宋体" w:cs="宋体"/>
          <w:sz w:val="24"/>
        </w:rPr>
        <w:t>甲方负责房屋主体部分的正常维修，包括结构、防水等（乙方自行装修部分除外）。</w:t>
      </w:r>
    </w:p>
    <w:p>
      <w:pPr>
        <w:numPr>
          <w:ilvl w:val="255"/>
          <w:numId w:val="0"/>
        </w:numPr>
        <w:spacing w:line="400" w:lineRule="exact"/>
        <w:ind w:firstLine="424" w:firstLineChars="177"/>
        <w:rPr>
          <w:rFonts w:ascii="宋体" w:hAnsi="宋体"/>
          <w:color w:val="000000"/>
          <w:sz w:val="24"/>
        </w:rPr>
      </w:pPr>
      <w:r>
        <w:rPr>
          <w:rFonts w:hint="eastAsia" w:ascii="宋体" w:hAnsi="宋体" w:cs="宋体"/>
          <w:sz w:val="24"/>
        </w:rPr>
        <w:t>（二）</w:t>
      </w:r>
      <w:r>
        <w:rPr>
          <w:rFonts w:hint="eastAsia" w:ascii="宋体" w:hAnsi="宋体"/>
          <w:color w:val="000000"/>
          <w:sz w:val="24"/>
        </w:rPr>
        <w:t>乙方负责房屋的日常维护，保护各项设施、设备免遭损坏。甲方允许乙方对该房屋进行装修或增设他物。装修、增设他物的范围是：[</w:t>
      </w:r>
      <w:r>
        <w:rPr>
          <w:rFonts w:hint="eastAsia"/>
          <w:sz w:val="24"/>
        </w:rPr>
        <w:t xml:space="preserve">           </w:t>
      </w:r>
      <w:r>
        <w:rPr>
          <w:rFonts w:hint="eastAsia" w:ascii="宋体" w:hAnsi="宋体"/>
          <w:color w:val="000000"/>
          <w:sz w:val="24"/>
        </w:rPr>
        <w:t>] ，费用由乙方负担。乙方装修房屋或者增设他物，不得改变房屋结构，不得影响房屋安全。</w:t>
      </w:r>
      <w:r>
        <w:rPr>
          <w:rFonts w:hint="eastAsia"/>
          <w:sz w:val="24"/>
        </w:rPr>
        <w:t>房屋损坏应及时向甲方报修并积极配合。</w:t>
      </w:r>
    </w:p>
    <w:p>
      <w:pPr>
        <w:spacing w:line="400" w:lineRule="exact"/>
        <w:ind w:firstLine="480" w:firstLineChars="200"/>
        <w:rPr>
          <w:rFonts w:ascii="宋体" w:hAnsi="宋体"/>
          <w:color w:val="000000"/>
          <w:sz w:val="24"/>
        </w:rPr>
      </w:pPr>
      <w:r>
        <w:rPr>
          <w:rFonts w:hint="eastAsia" w:ascii="宋体" w:hAnsi="宋体"/>
          <w:color w:val="000000"/>
          <w:sz w:val="24"/>
        </w:rPr>
        <w:t>（三）租赁合同期满或解除后，乙方房屋装修、改善增设他物的处理：                                     　租赁合同期满或解除后，乙方投入的装饰装潢应自行拆除，将建筑物恢复原状，经甲方同意保留的可以免于拆除，归甲方所有。</w:t>
      </w:r>
    </w:p>
    <w:p>
      <w:pPr>
        <w:pStyle w:val="4"/>
        <w:numPr>
          <w:ilvl w:val="0"/>
          <w:numId w:val="1"/>
        </w:numPr>
        <w:adjustRightInd w:val="0"/>
        <w:snapToGrid w:val="0"/>
        <w:spacing w:line="360" w:lineRule="auto"/>
        <w:rPr>
          <w:rFonts w:ascii="宋体" w:hAnsi="宋体" w:cs="宋体"/>
        </w:rPr>
      </w:pPr>
      <w:r>
        <w:rPr>
          <w:rFonts w:hint="eastAsia" w:ascii="宋体" w:hAnsi="宋体" w:cs="宋体"/>
        </w:rPr>
        <w:t>　房屋租赁保证金</w:t>
      </w:r>
    </w:p>
    <w:p>
      <w:pPr>
        <w:numPr>
          <w:ilvl w:val="255"/>
          <w:numId w:val="0"/>
        </w:numPr>
        <w:adjustRightInd w:val="0"/>
        <w:snapToGrid w:val="0"/>
        <w:spacing w:line="360" w:lineRule="auto"/>
        <w:ind w:firstLine="480" w:firstLineChars="200"/>
        <w:rPr>
          <w:rFonts w:ascii="宋体" w:hAnsi="宋体" w:cs="宋体"/>
          <w:sz w:val="24"/>
        </w:rPr>
      </w:pPr>
      <w:r>
        <w:rPr>
          <w:rFonts w:hint="eastAsia" w:ascii="宋体" w:hAnsi="宋体" w:cs="宋体"/>
          <w:sz w:val="24"/>
        </w:rPr>
        <w:t>（一）本合同生效后</w:t>
      </w:r>
      <w:r>
        <w:rPr>
          <w:rFonts w:ascii="宋体" w:hAnsi="宋体" w:cs="宋体"/>
          <w:sz w:val="24"/>
        </w:rPr>
        <w:t xml:space="preserve">[ </w:t>
      </w:r>
      <w:r>
        <w:rPr>
          <w:rFonts w:hint="eastAsia" w:ascii="宋体" w:hAnsi="宋体" w:cs="宋体"/>
          <w:sz w:val="24"/>
        </w:rPr>
        <w:t xml:space="preserve">   </w:t>
      </w:r>
      <w:r>
        <w:rPr>
          <w:rFonts w:ascii="宋体" w:hAnsi="宋体" w:cs="宋体"/>
          <w:sz w:val="24"/>
        </w:rPr>
        <w:t>]日内，乙方须向甲方支付房屋租赁保证金人民币（大写）[</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]元</w:t>
      </w:r>
      <w:r>
        <w:rPr>
          <w:rFonts w:hint="eastAsia" w:ascii="宋体" w:hAnsi="宋体" w:cs="宋体"/>
          <w:sz w:val="24"/>
          <w:u w:val="single"/>
        </w:rPr>
        <w:t>整（￥       元</w:t>
      </w:r>
      <w:r>
        <w:rPr>
          <w:rFonts w:hint="eastAsia" w:ascii="宋体" w:hAnsi="宋体" w:cs="宋体"/>
          <w:sz w:val="24"/>
        </w:rPr>
        <w:t>）。</w:t>
      </w:r>
    </w:p>
    <w:p>
      <w:pPr>
        <w:numPr>
          <w:ilvl w:val="255"/>
          <w:numId w:val="0"/>
        </w:numPr>
        <w:adjustRightInd w:val="0"/>
        <w:snapToGrid w:val="0"/>
        <w:spacing w:line="360" w:lineRule="auto"/>
        <w:ind w:firstLine="480" w:firstLineChars="200"/>
        <w:rPr>
          <w:rFonts w:ascii="宋体" w:hAnsi="宋体" w:cs="宋体"/>
          <w:sz w:val="24"/>
        </w:rPr>
      </w:pPr>
      <w:r>
        <w:rPr>
          <w:rFonts w:hint="eastAsia" w:ascii="宋体" w:hAnsi="宋体" w:cs="宋体"/>
          <w:sz w:val="24"/>
        </w:rPr>
        <w:t>（二）租赁期满或合同解除后，房屋租赁保证金由甲方抵扣应由乙方承担的费用、租金、滞纳金及赔偿等，剩余部分如数返还乙方。房屋租赁保证金不计付利息。</w:t>
      </w:r>
    </w:p>
    <w:p>
      <w:pPr>
        <w:pStyle w:val="4"/>
        <w:numPr>
          <w:ilvl w:val="0"/>
          <w:numId w:val="1"/>
        </w:numPr>
        <w:adjustRightInd w:val="0"/>
        <w:snapToGrid w:val="0"/>
        <w:spacing w:line="360" w:lineRule="auto"/>
        <w:rPr>
          <w:rFonts w:ascii="宋体" w:hAnsi="宋体" w:cs="宋体"/>
        </w:rPr>
      </w:pPr>
      <w:r>
        <w:rPr>
          <w:rFonts w:hint="eastAsia" w:ascii="宋体" w:hAnsi="宋体" w:cs="宋体"/>
        </w:rPr>
        <w:t>　房屋使用的有关费用</w:t>
      </w:r>
    </w:p>
    <w:p>
      <w:pPr>
        <w:adjustRightInd w:val="0"/>
        <w:snapToGrid w:val="0"/>
        <w:spacing w:line="360" w:lineRule="auto"/>
        <w:ind w:firstLine="618"/>
        <w:rPr>
          <w:rFonts w:ascii="宋体" w:hAnsi="宋体" w:cs="宋体"/>
          <w:b/>
          <w:sz w:val="24"/>
        </w:rPr>
      </w:pPr>
      <w:r>
        <w:rPr>
          <w:rFonts w:hint="eastAsia" w:ascii="宋体" w:hAnsi="宋体" w:cs="宋体"/>
          <w:sz w:val="24"/>
        </w:rPr>
        <w:t>租赁期内，与该房屋有关的各项费用承担方式为：</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（一）乙方承担的费用：水费、电费、电话费、电视收视费、互联网费、供暖费、 燃气费、物业管理费及除甲方承担的相关税款外的其它费用。</w:t>
      </w:r>
      <w:r>
        <w:rPr>
          <w:rFonts w:hint="eastAsia" w:ascii="宋体" w:hAnsi="宋体"/>
          <w:color w:val="000000"/>
          <w:sz w:val="24"/>
        </w:rPr>
        <w:t>上述费用的交付方式为：</w:t>
      </w:r>
      <w:r>
        <w:rPr>
          <w:rFonts w:hint="eastAsia" w:ascii="宋体" w:hAnsi="宋体"/>
          <w:sz w:val="24"/>
        </w:rPr>
        <w:t xml:space="preserve">                           ，</w:t>
      </w:r>
      <w:r>
        <w:rPr>
          <w:rFonts w:hint="eastAsia" w:ascii="宋体" w:hAnsi="宋体" w:cs="宋体"/>
          <w:sz w:val="24"/>
        </w:rPr>
        <w:t>交甲方财务处。</w:t>
      </w:r>
    </w:p>
    <w:p>
      <w:pPr>
        <w:adjustRightInd w:val="0"/>
        <w:snapToGrid w:val="0"/>
        <w:spacing w:line="360" w:lineRule="auto"/>
        <w:ind w:firstLine="508" w:firstLineChars="212"/>
        <w:rPr>
          <w:rFonts w:ascii="宋体" w:hAnsi="宋体" w:cs="宋体"/>
          <w:b/>
          <w:sz w:val="24"/>
        </w:rPr>
      </w:pPr>
      <w:r>
        <w:rPr>
          <w:rFonts w:hint="eastAsia" w:ascii="宋体" w:hAnsi="宋体" w:cs="宋体"/>
          <w:sz w:val="24"/>
        </w:rPr>
        <w:t xml:space="preserve">（二）甲方承担的费用：                  </w:t>
      </w:r>
      <w:r>
        <w:rPr>
          <w:rFonts w:hint="eastAsia" w:ascii="宋体" w:hAnsi="宋体" w:cs="宋体"/>
          <w:b/>
          <w:sz w:val="24"/>
        </w:rPr>
        <w:t>。</w:t>
      </w:r>
    </w:p>
    <w:p>
      <w:pPr>
        <w:pStyle w:val="4"/>
        <w:numPr>
          <w:ilvl w:val="0"/>
          <w:numId w:val="1"/>
        </w:numPr>
        <w:adjustRightInd w:val="0"/>
        <w:snapToGrid w:val="0"/>
        <w:spacing w:line="360" w:lineRule="auto"/>
        <w:rPr>
          <w:rFonts w:ascii="宋体" w:hAnsi="宋体" w:cs="宋体"/>
        </w:rPr>
      </w:pPr>
      <w:r>
        <w:rPr>
          <w:rFonts w:hint="eastAsia" w:ascii="宋体" w:hAnsi="宋体" w:cs="宋体"/>
        </w:rPr>
        <w:t>　房屋交付及交还的期限、方式及验收</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（一）交付：甲方应按租赁期限规定按时将房屋交付乙方，乙方予以验收，并于交接时由双方在《房屋附属设施、设备清单》（见附件）上签字盖章。</w:t>
      </w:r>
    </w:p>
    <w:p>
      <w:pPr>
        <w:numPr>
          <w:ilvl w:val="255"/>
          <w:numId w:val="0"/>
        </w:numPr>
        <w:spacing w:line="400" w:lineRule="exact"/>
        <w:ind w:firstLine="283" w:firstLineChars="118"/>
        <w:rPr>
          <w:rFonts w:ascii="宋体" w:hAnsi="宋体"/>
          <w:color w:val="000000"/>
          <w:sz w:val="24"/>
        </w:rPr>
      </w:pPr>
      <w:r>
        <w:rPr>
          <w:rFonts w:hint="eastAsia" w:ascii="宋体" w:hAnsi="宋体" w:cs="宋体"/>
          <w:sz w:val="24"/>
        </w:rPr>
        <w:t>（二）交还：乙方应于租赁期满或合同解除后      日内，将房屋全部交还甲方，甲方予以验收。</w:t>
      </w:r>
      <w:r>
        <w:rPr>
          <w:rFonts w:hint="eastAsia" w:ascii="宋体" w:hAnsi="宋体"/>
          <w:color w:val="000000"/>
          <w:sz w:val="24"/>
        </w:rPr>
        <w:t>双方于房屋交接时在《房屋附属设施、设备清单》上签字盖章。乙方应移走所属</w:t>
      </w:r>
      <w:r>
        <w:rPr>
          <w:rFonts w:ascii="宋体" w:hAnsi="宋体"/>
          <w:color w:val="000000"/>
          <w:sz w:val="24"/>
        </w:rPr>
        <w:t>自己</w:t>
      </w:r>
      <w:r>
        <w:rPr>
          <w:rFonts w:hint="eastAsia" w:ascii="宋体" w:hAnsi="宋体"/>
          <w:color w:val="000000"/>
          <w:sz w:val="24"/>
        </w:rPr>
        <w:t>的所有物品，逾期未移走的，视为</w:t>
      </w:r>
      <w:r>
        <w:rPr>
          <w:rFonts w:ascii="宋体" w:hAnsi="宋体"/>
          <w:color w:val="000000"/>
          <w:sz w:val="24"/>
        </w:rPr>
        <w:t>乙方自动放弃，</w:t>
      </w:r>
      <w:r>
        <w:rPr>
          <w:rFonts w:hint="eastAsia" w:ascii="宋体" w:hAnsi="宋体"/>
          <w:color w:val="000000"/>
          <w:sz w:val="24"/>
        </w:rPr>
        <w:t>甲方有权处置。</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（三）乙方承租期间对房屋的任何投入，甲方不承担补偿义务。</w:t>
      </w:r>
    </w:p>
    <w:p>
      <w:pPr>
        <w:pStyle w:val="4"/>
        <w:numPr>
          <w:ilvl w:val="0"/>
          <w:numId w:val="1"/>
        </w:numPr>
        <w:adjustRightInd w:val="0"/>
        <w:snapToGrid w:val="0"/>
        <w:spacing w:line="360" w:lineRule="auto"/>
        <w:rPr>
          <w:rFonts w:ascii="宋体" w:hAnsi="宋体" w:cs="宋体"/>
        </w:rPr>
      </w:pPr>
      <w:r>
        <w:rPr>
          <w:rFonts w:hint="eastAsia" w:ascii="宋体" w:hAnsi="宋体" w:cs="宋体"/>
        </w:rPr>
        <w:t>　合同解除的条件</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（一）租赁期间，乙方有下列行为之一的，甲方有权解除合同，收回租赁房屋并不承担乙方任何损失：</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1、未经甲方书面同意，拆改、变动租赁房屋的建筑结构或对租赁房屋的安全造成潜在或者实际影响的。</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2、因乙方过错造成租赁房屋被损坏，在甲方提出修复或赔偿要求后15日内乙方仍未修复或赔偿到位。</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3、未经甲方书面同意，擅自改变租赁房屋约定的租赁用途。</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4、利用租赁房屋存放违禁物品或有其他违法行为，包括但不限于违法的经营行为。</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5、乙方逾期15日未足额交纳应交的租金或其它费用的（包括但不限于各项预付费用、保证金、能源费、利息和违约金等）。</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6、乙方未按照甲方通知的时间接收房屋，逾期超过7天的。</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7、乙方不再拥有品牌的经营权或品牌使用权，或因乙方品牌名誉损失导致甲方名誉受损，或者乙方因其自身原因而被吊销营业执照的。</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8、乙方店铺装修及经营过程中造成安全事故的或存在重大安全隐患拒不整改的。</w:t>
      </w:r>
    </w:p>
    <w:p>
      <w:pPr>
        <w:adjustRightInd w:val="0"/>
        <w:snapToGrid w:val="0"/>
        <w:spacing w:line="360" w:lineRule="auto"/>
        <w:ind w:firstLine="600" w:firstLineChars="250"/>
        <w:rPr>
          <w:rFonts w:ascii="宋体" w:hAnsi="宋体" w:cs="宋体"/>
          <w:color w:val="000000" w:themeColor="text1"/>
          <w:sz w:val="24"/>
          <w14:textFill>
            <w14:solidFill>
              <w14:schemeClr w14:val="tx1"/>
            </w14:solidFill>
          </w14:textFill>
        </w:rPr>
      </w:pPr>
      <w:r>
        <w:rPr>
          <w:rFonts w:hint="eastAsia" w:ascii="宋体" w:hAnsi="宋体" w:cs="宋体"/>
          <w:sz w:val="24"/>
        </w:rPr>
        <w:t>9、乙方店铺经营过程中6个月周</w:t>
      </w:r>
      <w:r>
        <w:rPr>
          <w:rFonts w:hint="eastAsia" w:ascii="宋体" w:hAnsi="宋体" w:cs="宋体"/>
          <w:color w:val="000000" w:themeColor="text1"/>
          <w:sz w:val="24"/>
          <w14:textFill>
            <w14:solidFill>
              <w14:schemeClr w14:val="tx1"/>
            </w14:solidFill>
          </w14:textFill>
        </w:rPr>
        <w:t>期内累计</w:t>
      </w:r>
      <w:r>
        <w:rPr>
          <w:rFonts w:ascii="宋体" w:hAnsi="宋体" w:cs="宋体"/>
          <w:color w:val="000000" w:themeColor="text1"/>
          <w:sz w:val="24"/>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次以</w:t>
      </w:r>
      <w:r>
        <w:rPr>
          <w:rFonts w:hint="eastAsia" w:ascii="宋体" w:hAnsi="宋体" w:cs="宋体"/>
          <w:sz w:val="24"/>
        </w:rPr>
        <w:t>上被顾客投诉到学校或店铺所在辖区相关职能部门，或因顾客消费纠纷在社会上引起不良反馈，有损甲方声誉的。</w:t>
      </w:r>
    </w:p>
    <w:p>
      <w:pPr>
        <w:adjustRightInd w:val="0"/>
        <w:snapToGrid w:val="0"/>
        <w:spacing w:line="360" w:lineRule="auto"/>
        <w:ind w:firstLine="600" w:firstLineChars="25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10、</w:t>
      </w:r>
      <w:r>
        <w:rPr>
          <w:rFonts w:hint="eastAsia" w:ascii="宋体" w:hAnsi="宋体" w:cs="宋体"/>
          <w:color w:val="000000" w:themeColor="text1"/>
          <w:sz w:val="24"/>
          <w14:textFill>
            <w14:solidFill>
              <w14:schemeClr w14:val="tx1"/>
            </w14:solidFill>
          </w14:textFill>
        </w:rPr>
        <w:t>乙方严重违反学校管理规范、管理规定两次或两次以上的，一年内被学校累计依规处罚两次及两次以上的。</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11、因乙方破产、正处于破产的过程、被宣布破产或被申请破产，或者乙方被申请进行清算或被查封。</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12、因乙方原因，使其他商户或甲方的经营活动遭受损害或被迫中断的。</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13、乙方利用租赁房屋进行非法活动。</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14、乙方有其他违法违规情形的。</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（二）合同终止或解除后，甲方有权收回租赁房屋，乙方应自合同终止或解除之日起七日内结清相关租金及其它费用、搬离租赁房屋。</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三）对于租赁房屋内，乙方购置的独立、可拆除且拆除后不影响租赁房屋使用的物品，包括但不限于电话、灯具、影音设备、座椅等，在合同终止或解除后，由乙方在甲方要求的期限内搬离租赁房屋。逾期不搬离的，视为乙方放弃遗留物品的所有权，由甲方自行处理。</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四）乙方应于本合同解除或终止前三十日内办理完毕以租赁房屋为注册地址的所有执照、批准或许可证的注销或变更地址手续。如有逾期，则每逾期一日乙方应按相当于合同解除或终止前一个月（如该月处于租金优惠期的，则为该租金优惠期后的当个正常租金起始日所在租赁月度）的日租金标准的两倍的金额向甲方支付违约金，且甲方仍有权要求乙方赔偿甲方因此而发生的一切损失和费用（包括但不限于甲方就该租赁房屋签署的其他租赁合同项下的因无法提供注册地址而承担的违约责任、诉讼费、律师费损失、鉴定费、评估费、差旅费等）。</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五）若乙方承租的租赁房屋系由多个经营区域组成，且甲方交付租赁房屋时，该多个经营区域之间存在隔墙的，则乙方在退还租赁房屋前，应将该多个经营区域之间的隔墙予以恢复并承担所有费用，除非甲方书面同意乙方不必恢复。</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六）若乙方交还租赁房屋时，甲方发现交还的建筑结构状况与交付时的结构状况不同的，或建筑结构、消防系统及甲方提供的其他设施或设备有损坏的（使用期间的合理损耗除外），乙方应负责恢复原状或赔偿损失，并承担所有相关的费用；若在交还后发现系乙方租赁期间造成的上述损坏，甲方有权要求乙方在限期内恢复原状或赔偿损失。</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七）若乙方未在退还期内撤离并返还租赁房屋且未经甲方的书面同意继续占用租赁房屋的，其占用不能视为合同续期或合同续订。自退还期届满次日起，乙方在占用期间需每个月按相当于合同期满前或合同解除前最后一个月租金的200%（如该月处于租金优惠期的，则为该租金优惠期后的当个正常租金起始日所在租赁月度租金的200%）的标准向甲方支付房屋占用费，不足一个月按一个月计算，同时还应向学校支付占用期间的综合管理费及其他费用；且甲方仍有权依照法律程序索回租赁房屋和因乙方占用租赁房屋而发生的一切损失和费用（包括但不限于甲方就该租赁房屋签署的其他租赁合同项下的因迟延向新租户交付该租赁房屋而承担的违约责任、诉讼费、律师费损失、鉴定费、评估费、差旅费等）。</w:t>
      </w:r>
    </w:p>
    <w:p>
      <w:pPr>
        <w:adjustRightInd w:val="0"/>
        <w:snapToGrid w:val="0"/>
        <w:spacing w:line="360" w:lineRule="auto"/>
        <w:ind w:firstLine="360" w:firstLineChars="150"/>
        <w:rPr>
          <w:rFonts w:ascii="宋体" w:hAnsi="宋体" w:cs="宋体"/>
          <w:sz w:val="24"/>
        </w:rPr>
      </w:pPr>
      <w:r>
        <w:rPr>
          <w:rFonts w:hint="eastAsia" w:ascii="宋体" w:hAnsi="宋体" w:cs="宋体"/>
          <w:sz w:val="24"/>
        </w:rPr>
        <w:t>（八）除以上约定的解除事由以外，原则上甲方不得单方要求解除合同。但若发现乙方经营严重亏损或有涉黑、欺行霸市等行为，甲方有权单方面要求解除合同</w:t>
      </w:r>
      <w:bookmarkStart w:id="0" w:name="_Hlk116033562"/>
      <w:r>
        <w:rPr>
          <w:rFonts w:hint="eastAsia" w:ascii="宋体" w:hAnsi="宋体" w:cs="宋体"/>
          <w:sz w:val="24"/>
        </w:rPr>
        <w:t>，甲方不退还乙方已缴纳的房屋租赁保证金及未履行期限的已收租金</w:t>
      </w:r>
      <w:bookmarkEnd w:id="0"/>
      <w:r>
        <w:rPr>
          <w:rFonts w:hint="eastAsia" w:ascii="宋体" w:hAnsi="宋体" w:cs="宋体"/>
          <w:sz w:val="24"/>
        </w:rPr>
        <w:t>。乙方拟退租的，应提前一个月向甲方发出书面申请，甲方审批同意的，签订《退租协议》并办理退租手续，甲方不退还乙方已缴纳的房屋租赁保证金及未履行期限的已收租金。</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（九）有下列情形之一的，本合同终止，甲乙双方互不承担违约责任：</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1、该房屋因城市建设需要被依法列入房屋拆迁范围的；</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2、因法定不可抗力致使房屋毁损、灭失或造成其他损失而无法继续使用的；</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3、非甲乙双方因素致使合同终止的其他情形。</w:t>
      </w:r>
    </w:p>
    <w:p>
      <w:pPr>
        <w:pStyle w:val="4"/>
        <w:adjustRightInd w:val="0"/>
        <w:snapToGrid w:val="0"/>
        <w:spacing w:line="360" w:lineRule="auto"/>
        <w:ind w:firstLine="600" w:firstLineChars="250"/>
        <w:rPr>
          <w:rFonts w:ascii="宋体" w:hAnsi="宋体" w:cs="宋体"/>
        </w:rPr>
      </w:pPr>
      <w:r>
        <w:rPr>
          <w:rFonts w:hint="eastAsia" w:ascii="宋体" w:hAnsi="宋体" w:cs="宋体"/>
        </w:rPr>
        <w:t>第十条  违约责任</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（一）租赁期间，因乙方有前述第九条第（一）款约定行为之一导致甲方解除合同的，乙方已支付的房屋租赁保证金和未履行期限的已收租金不予退还。同时，乙方应按当年度租金总额的10%向甲方支付违约金。</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（二）甲方未按约定履行维修义务造成乙方人身受到伤害或财物毁损的，应承担赔偿责任，赔偿金额按造成的实际损失计算；</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（三）乙方违反合同约定使用或维修房屋给甲方造成损失的，应承担赔偿责任，赔偿金额按造成的实际损失计算；</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四）若乙方未按时缴纳租金及其他各项费用的，则每迟延一天，按应付未付租金或其他各项费用的千分之三向甲方支付违约金。逾期超过十五天，甲方有权解除合同，乙方已支付的房屋租赁保证金不予返还，乙方应按当年度租金总额的10%向甲方支付违约金，违约金累计计算。</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（五）乙方擅自将承租房屋转让、转租、转借给他人的，应支付给甲方租金总额20%的违约金；</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六）租赁合同期满或提前终止合同的，乙方应在合同终止后15日内立即按合约返还租赁房屋。乙方逾期返还的，除应按照本协议第九条第（八）款的约定支付房屋占用费等费用外，甲方有权不退还乙方已交纳的房屋租赁保证金和未履行期限的已收租金。</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（七） 乙方存在任何违反本合同约定的行为的，均应按本当年度租金总额的1%向甲方支付违约金（合同对违约金数额有特别约定的，按照特别约定执行），除支付违约金外，乙方还应当赔偿甲方因此产生的全部损失，包括但不限于直接损失、间接损失、律师费、诉讼费、保全费等全部损失。</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（八）双方约定的其他责任：</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1、乙方原因提前终止或解除合同的，则乙方已支付的租金(含物业费)甲方不予退还并扣除全部房屋租赁保证金；同时，甲方有权追究乙方的违约责任。</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 2、乙方违约的，除应按本合同承担违约责任外，还应另行据实赔偿甲方损失（该损失包括但不限于损失、第三方索赔、罚款、鉴定费、评估费、律师费、差旅费、诉讼费等费用）。</w:t>
      </w:r>
    </w:p>
    <w:p>
      <w:pPr>
        <w:adjustRightInd w:val="0"/>
        <w:snapToGrid w:val="0"/>
        <w:spacing w:line="360" w:lineRule="auto"/>
        <w:ind w:firstLine="480" w:firstLineChars="200"/>
        <w:rPr>
          <w:rFonts w:ascii="宋体" w:hAnsi="宋体" w:cs="宋体"/>
          <w:b/>
          <w:sz w:val="24"/>
        </w:rPr>
      </w:pPr>
    </w:p>
    <w:p>
      <w:pPr>
        <w:adjustRightInd w:val="0"/>
        <w:snapToGrid w:val="0"/>
        <w:spacing w:line="360" w:lineRule="auto"/>
        <w:ind w:firstLine="480" w:firstLineChars="200"/>
        <w:rPr>
          <w:rFonts w:ascii="宋体" w:hAnsi="宋体" w:cs="宋体"/>
          <w:b/>
          <w:sz w:val="24"/>
        </w:rPr>
      </w:pPr>
      <w:r>
        <w:rPr>
          <w:rFonts w:hint="eastAsia" w:ascii="宋体" w:hAnsi="宋体" w:cs="宋体"/>
          <w:b/>
          <w:sz w:val="24"/>
        </w:rPr>
        <w:t>第十一条  合同争议的解决</w:t>
      </w:r>
    </w:p>
    <w:p>
      <w:pPr>
        <w:widowControl/>
        <w:adjustRightInd w:val="0"/>
        <w:snapToGrid w:val="0"/>
        <w:spacing w:line="360" w:lineRule="auto"/>
        <w:ind w:firstLine="600" w:firstLineChars="250"/>
        <w:rPr>
          <w:rFonts w:ascii="宋体" w:hAnsi="宋体" w:cs="宋体"/>
          <w:sz w:val="24"/>
        </w:rPr>
      </w:pPr>
      <w:r>
        <w:rPr>
          <w:rFonts w:hint="eastAsia" w:ascii="宋体" w:hAnsi="宋体" w:cs="宋体"/>
          <w:sz w:val="24"/>
        </w:rPr>
        <w:t>合同发生纠纷时，双方应协商解决，协商不成可以采用下列方式解决：</w:t>
      </w:r>
    </w:p>
    <w:p>
      <w:pPr>
        <w:widowControl/>
        <w:adjustRightInd w:val="0"/>
        <w:snapToGrid w:val="0"/>
        <w:spacing w:line="360" w:lineRule="auto"/>
        <w:ind w:firstLine="600" w:firstLineChars="250"/>
        <w:rPr>
          <w:rFonts w:ascii="宋体" w:hAnsi="宋体" w:cs="宋体"/>
          <w:sz w:val="24"/>
        </w:rPr>
      </w:pPr>
      <w:r>
        <w:rPr>
          <w:rFonts w:hint="eastAsia" w:ascii="宋体" w:hAnsi="宋体" w:cs="宋体"/>
          <w:sz w:val="24"/>
        </w:rPr>
        <w:t>（</w:t>
      </w:r>
      <w:r>
        <w:rPr>
          <w:rFonts w:ascii="宋体" w:hAnsi="宋体" w:cs="宋体"/>
          <w:sz w:val="24"/>
        </w:rPr>
        <w:t xml:space="preserve">1）提交     </w:t>
      </w:r>
      <w:r>
        <w:rPr>
          <w:rFonts w:hint="eastAsia" w:ascii="宋体" w:hAnsi="宋体" w:cs="宋体"/>
          <w:sz w:val="24"/>
        </w:rPr>
        <w:t>仲裁委员会仲裁；（</w:t>
      </w:r>
      <w:r>
        <w:rPr>
          <w:rFonts w:ascii="宋体" w:hAnsi="宋体" w:cs="宋体"/>
          <w:sz w:val="24"/>
        </w:rPr>
        <w:t>2）向甲方所在地人民法院起诉。</w:t>
      </w:r>
    </w:p>
    <w:p>
      <w:pPr>
        <w:adjustRightInd w:val="0"/>
        <w:snapToGrid w:val="0"/>
        <w:spacing w:line="360" w:lineRule="auto"/>
        <w:ind w:firstLine="600" w:firstLineChars="250"/>
        <w:rPr>
          <w:rFonts w:cs="宋体"/>
          <w:color w:val="000000"/>
        </w:rPr>
      </w:pPr>
      <w:r>
        <w:rPr>
          <w:rFonts w:hint="eastAsia" w:ascii="宋体" w:hAnsi="宋体" w:cs="宋体"/>
          <w:color w:val="000000"/>
          <w:sz w:val="24"/>
        </w:rPr>
        <w:t>本合同发生纠纷，经双方协商不能解决时，采用第（</w:t>
      </w:r>
      <w:r>
        <w:rPr>
          <w:rFonts w:ascii="宋体" w:hAnsi="宋体" w:cs="宋体"/>
          <w:color w:val="000000"/>
          <w:sz w:val="24"/>
        </w:rPr>
        <w:t xml:space="preserve">  </w:t>
      </w:r>
      <w:r>
        <w:rPr>
          <w:rFonts w:hint="eastAsia" w:ascii="宋体" w:hAnsi="宋体" w:cs="宋体"/>
          <w:color w:val="000000"/>
          <w:sz w:val="24"/>
        </w:rPr>
        <w:t>2</w:t>
      </w:r>
      <w:r>
        <w:rPr>
          <w:rFonts w:ascii="宋体" w:hAnsi="宋体" w:cs="宋体"/>
          <w:color w:val="000000"/>
          <w:sz w:val="24"/>
        </w:rPr>
        <w:t xml:space="preserve"> </w:t>
      </w:r>
      <w:r>
        <w:rPr>
          <w:rFonts w:hint="eastAsia" w:ascii="宋体" w:hAnsi="宋体" w:cs="宋体"/>
          <w:color w:val="000000"/>
          <w:sz w:val="24"/>
        </w:rPr>
        <w:t>）种方式予以解决。</w:t>
      </w:r>
    </w:p>
    <w:p>
      <w:pPr>
        <w:pStyle w:val="4"/>
        <w:adjustRightInd w:val="0"/>
        <w:snapToGrid w:val="0"/>
        <w:spacing w:line="360" w:lineRule="auto"/>
        <w:ind w:firstLine="480" w:firstLineChars="200"/>
        <w:rPr>
          <w:rFonts w:ascii="宋体" w:hAnsi="宋体" w:cs="宋体"/>
        </w:rPr>
      </w:pPr>
      <w:r>
        <w:rPr>
          <w:rFonts w:hint="eastAsia" w:ascii="宋体" w:hAnsi="宋体" w:cs="宋体"/>
        </w:rPr>
        <w:t>第十二条  其他约定事项</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（一）房屋的水、电、暖设施以现状为准，学校统一安装水表（有上下水的房屋）、电表等计量装置。</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（二）因甲方统一规划须拆除、改造或占用乙方承租的房屋，甲方应提前一个月通知乙方，甲乙双方解除本合同，租金按乙方实际使用天数结算，预交租金剩余部分甲方无息退还给乙方。</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（三）因不可抗力原因导致本合同无法继续履行，租金按乙方实际使用天数结算，预交租金剩余部分甲方无息退还给乙方。</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（四）乙方应遵守法律法规和校规校纪，合法经营，证照齐全，服从学校管理部门管理，必须按照学校指定的经营范围进行经营活动，否则学校有权终止合同。</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五）乙方应遵守国家有关安全保卫、消防、食品卫生等方面的规定，严禁使用大功率电器，负责承租区域的安全、消防工作，配备必要的设备、设施，并承担所需费用。因政府相关部门检查不合格发生的任何罚款全部由乙方承担；因乙方管理不善造成失盗、失火等事件给甲方或第三方造成损失的，乙方承担相应的赔偿责任，甲方有权解除租赁合同。</w:t>
      </w:r>
    </w:p>
    <w:p>
      <w:pPr>
        <w:pStyle w:val="3"/>
        <w:kinsoku w:val="0"/>
        <w:overflowPunct w:val="0"/>
        <w:spacing w:before="34" w:line="440" w:lineRule="exact"/>
        <w:ind w:firstLine="600" w:firstLineChars="250"/>
        <w:rPr>
          <w:rFonts w:cs="宋体"/>
        </w:rPr>
      </w:pPr>
      <w:r>
        <w:rPr>
          <w:rFonts w:hint="eastAsia" w:cs="宋体"/>
        </w:rPr>
        <w:t>（六）乙方在承租期间，应当采取相应的安全防范措施。乙方作为该项目安全工作的第一责任人，对相应的安全管理工作负有直接的组织和管理义务，并承担全部责任。</w:t>
      </w:r>
    </w:p>
    <w:p>
      <w:pPr>
        <w:pStyle w:val="16"/>
        <w:ind w:firstLine="0" w:firstLineChars="0"/>
        <w:rPr>
          <w:rFonts w:ascii="宋体" w:hAnsi="宋体" w:cs="宋体"/>
        </w:rPr>
      </w:pPr>
    </w:p>
    <w:p>
      <w:pPr>
        <w:adjustRightInd w:val="0"/>
        <w:snapToGrid w:val="0"/>
        <w:spacing w:line="360" w:lineRule="auto"/>
        <w:ind w:firstLine="600" w:firstLineChars="250"/>
        <w:rPr>
          <w:rFonts w:ascii="宋体" w:hAnsi="宋体" w:cs="宋体"/>
          <w:sz w:val="24"/>
        </w:rPr>
      </w:pPr>
      <w:r>
        <w:rPr>
          <w:rFonts w:hint="eastAsia" w:ascii="宋体" w:hAnsi="宋体" w:cs="宋体"/>
          <w:sz w:val="24"/>
        </w:rPr>
        <w:t>（七）乙方所经营的商品和服务必须符合国家规定的质量标准，所售商品须建立索证制度，严禁销售假冒伪劣的“三无”商品，并随时接受甲方及政府有关部门的检查监督。甲方例行检查或学生举报乙方有出售“三无”商品、过期商品或其他违规经营行为等经查证属实的，每发现一次扣除房屋租赁保证金</w:t>
      </w:r>
      <w:r>
        <w:rPr>
          <w:rFonts w:hint="eastAsia" w:ascii="宋体" w:hAnsi="宋体" w:cs="宋体"/>
          <w:sz w:val="24"/>
          <w:u w:val="none"/>
        </w:rPr>
        <w:t>5000</w:t>
      </w:r>
      <w:r>
        <w:rPr>
          <w:rFonts w:hint="eastAsia" w:ascii="宋体" w:hAnsi="宋体" w:cs="宋体"/>
          <w:sz w:val="24"/>
        </w:rPr>
        <w:t>元，乙方应在一个月内补齐保证金，在一个租赁年度累计三次违反该款约定的，甲方有权解除租赁合同。</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（八）若由于乙方出售的商品质量问题造成群体性食物中毒的，甲方有权扣除全部房屋租赁保证金，并</w:t>
      </w:r>
      <w:r>
        <w:rPr>
          <w:rFonts w:hint="eastAsia" w:ascii="宋体" w:hAnsi="宋体" w:cs="宋体"/>
          <w:sz w:val="24"/>
        </w:rPr>
        <w:t>每次罚款2万元，甲方有权</w:t>
      </w:r>
      <w:r>
        <w:rPr>
          <w:rFonts w:hint="eastAsia" w:ascii="宋体" w:hAnsi="宋体" w:cs="宋体"/>
          <w:sz w:val="24"/>
        </w:rPr>
        <w:t>解除租</w:t>
      </w:r>
      <w:r>
        <w:rPr>
          <w:rFonts w:hint="eastAsia" w:ascii="宋体" w:hAnsi="宋体" w:cs="宋体"/>
          <w:sz w:val="24"/>
        </w:rPr>
        <w:t>赁合</w:t>
      </w:r>
      <w:r>
        <w:rPr>
          <w:rFonts w:hint="eastAsia" w:ascii="宋体" w:hAnsi="宋体" w:cs="宋体"/>
          <w:color w:val="000000" w:themeColor="text1"/>
          <w:sz w:val="24"/>
          <w14:textFill>
            <w14:solidFill>
              <w14:schemeClr w14:val="tx1"/>
            </w14:solidFill>
          </w14:textFill>
        </w:rPr>
        <w:t>同，由此产生的所有法律后果全部由乙方承担。</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九）乙方销售的商品和服务须明码标价，且不得高于周边市场公允价格。乙方销售的商品和服务价格高于周边市场公允价格的，应对消费者所购商品或服务全额退款，并按差价部分10倍赔偿消费者。在一个租赁年度累计五次违反该款约定的，甲方有权解除租赁合同。</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（十）乙方在经营期间不得售卖、使用任何储值卡等类似或变相预付现金的结算方式。如果发生此类情况,甲方有权解除租赁合同,乙方承担由此造成的一切损失。</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（十一）乙方应做好门前卫生三包，不得在室外另行加桌摆摊经营或堆放物品，不得在学生上课、休息时间开音响。乙方违反该款经劝阻仍不整改的，甲方有权解除租赁合同。</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（十二）乙方自行处理涉及工商、税务、卫生防疫、消防安全等有关事宜。</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（十三）乙方不得因经营网点数量或学生人数发生变化而向甲方提出降低租金等要求。</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（十四）涉及房租减免政策，按上级文件规定执行。</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（十五）乙方接收该建筑物后，甲方应提供乙方办证所需的房产证明，并配合乙方办理证件。</w:t>
      </w:r>
    </w:p>
    <w:p>
      <w:pPr>
        <w:adjustRightInd w:val="0"/>
        <w:snapToGrid w:val="0"/>
        <w:spacing w:line="360" w:lineRule="auto"/>
        <w:ind w:firstLine="600" w:firstLineChars="250"/>
        <w:rPr>
          <w:rFonts w:ascii="宋体" w:hAnsi="宋体" w:cs="宋体"/>
          <w:sz w:val="24"/>
        </w:rPr>
      </w:pPr>
      <w:r>
        <w:rPr>
          <w:rFonts w:hint="eastAsia" w:ascii="宋体" w:hAnsi="宋体" w:cs="宋体"/>
          <w:sz w:val="24"/>
        </w:rPr>
        <w:t>（十六）双方的比选文件、响应文件及乙方投标时的承诺书作</w:t>
      </w:r>
      <w:bookmarkStart w:id="1" w:name="_GoBack"/>
      <w:bookmarkEnd w:id="1"/>
      <w:r>
        <w:rPr>
          <w:rFonts w:hint="eastAsia" w:ascii="宋体" w:hAnsi="宋体" w:cs="宋体"/>
          <w:sz w:val="24"/>
        </w:rPr>
        <w:t>为本合同的附件，是本合同的组成部分，与本合同具有同等法律效力。</w:t>
      </w:r>
    </w:p>
    <w:p>
      <w:pPr>
        <w:spacing w:line="360" w:lineRule="auto"/>
        <w:ind w:firstLine="555"/>
        <w:rPr>
          <w:rFonts w:ascii="宋体" w:hAnsi="宋体" w:cs="宋体"/>
          <w:sz w:val="24"/>
        </w:rPr>
      </w:pPr>
      <w:r>
        <w:rPr>
          <w:rFonts w:hint="eastAsia" w:ascii="宋体" w:hAnsi="宋体" w:cs="宋体"/>
          <w:sz w:val="24"/>
        </w:rPr>
        <w:t>（十七）本合同经甲乙双方签字盖章后生效。</w:t>
      </w:r>
    </w:p>
    <w:p>
      <w:pPr>
        <w:adjustRightInd w:val="0"/>
        <w:snapToGrid w:val="0"/>
        <w:spacing w:line="360" w:lineRule="auto"/>
        <w:ind w:firstLine="555"/>
        <w:rPr>
          <w:rFonts w:ascii="宋体" w:hAnsi="宋体" w:cs="宋体"/>
          <w:sz w:val="24"/>
        </w:rPr>
      </w:pPr>
      <w:r>
        <w:rPr>
          <w:rFonts w:hint="eastAsia" w:ascii="宋体" w:hAnsi="宋体" w:cs="宋体"/>
          <w:sz w:val="24"/>
        </w:rPr>
        <w:t>（十八）本合同一式</w:t>
      </w:r>
      <w:r>
        <w:rPr>
          <w:rFonts w:hint="eastAsia" w:ascii="宋体" w:hAnsi="宋体" w:cs="宋体"/>
          <w:sz w:val="24"/>
          <w:u w:val="none"/>
        </w:rPr>
        <w:t>捌</w:t>
      </w:r>
      <w:r>
        <w:rPr>
          <w:rFonts w:hint="eastAsia" w:ascii="宋体" w:hAnsi="宋体" w:cs="宋体"/>
          <w:sz w:val="24"/>
        </w:rPr>
        <w:t>份，甲方持</w:t>
      </w:r>
      <w:r>
        <w:rPr>
          <w:rFonts w:hint="eastAsia" w:ascii="宋体" w:hAnsi="宋体" w:cs="宋体"/>
          <w:sz w:val="24"/>
          <w:u w:val="none"/>
        </w:rPr>
        <w:t xml:space="preserve"> </w:t>
      </w:r>
      <w:r>
        <w:rPr>
          <w:rFonts w:hint="eastAsia" w:ascii="宋体" w:hAnsi="宋体" w:cs="宋体"/>
          <w:sz w:val="24"/>
          <w:u w:val="none"/>
        </w:rPr>
        <w:t>伍</w:t>
      </w:r>
      <w:r>
        <w:rPr>
          <w:rFonts w:hint="eastAsia" w:ascii="宋体" w:hAnsi="宋体" w:cs="宋体"/>
          <w:sz w:val="24"/>
        </w:rPr>
        <w:t>份，乙方执</w:t>
      </w:r>
      <w:r>
        <w:rPr>
          <w:rFonts w:hint="eastAsia" w:ascii="宋体" w:hAnsi="宋体" w:cs="宋体"/>
          <w:sz w:val="24"/>
          <w:u w:val="none"/>
        </w:rPr>
        <w:t xml:space="preserve"> 贰</w:t>
      </w:r>
      <w:r>
        <w:rPr>
          <w:rFonts w:hint="eastAsia" w:ascii="宋体" w:hAnsi="宋体" w:cs="宋体"/>
          <w:sz w:val="24"/>
        </w:rPr>
        <w:t>份，同时按规定送同级财政部门及其他有关部门备案。</w:t>
      </w:r>
    </w:p>
    <w:p>
      <w:pPr>
        <w:adjustRightInd w:val="0"/>
        <w:snapToGrid w:val="0"/>
        <w:spacing w:line="360" w:lineRule="auto"/>
        <w:ind w:firstLine="555"/>
        <w:rPr>
          <w:rFonts w:ascii="宋体" w:hAnsi="宋体" w:cs="宋体"/>
          <w:sz w:val="24"/>
        </w:rPr>
      </w:pPr>
      <w:r>
        <w:rPr>
          <w:rFonts w:hint="eastAsia" w:ascii="宋体" w:hAnsi="宋体" w:cs="宋体"/>
          <w:sz w:val="24"/>
        </w:rPr>
        <w:t>（十九）其他条款：                               。</w:t>
      </w:r>
    </w:p>
    <w:p>
      <w:pPr>
        <w:pStyle w:val="2"/>
        <w:ind w:firstLine="320"/>
      </w:pPr>
    </w:p>
    <w:p>
      <w:pPr>
        <w:adjustRightInd w:val="0"/>
        <w:snapToGrid w:val="0"/>
        <w:spacing w:line="360" w:lineRule="auto"/>
        <w:ind w:firstLine="1032" w:firstLineChars="430"/>
        <w:rPr>
          <w:rFonts w:ascii="宋体" w:hAnsi="宋体" w:cs="宋体"/>
          <w:sz w:val="24"/>
        </w:rPr>
      </w:pPr>
      <w:r>
        <w:rPr>
          <w:rFonts w:hint="eastAsia" w:ascii="宋体" w:hAnsi="宋体" w:cs="宋体"/>
          <w:sz w:val="24"/>
        </w:rPr>
        <w:t>合同附件：房屋附属设施、设备清单</w:t>
      </w:r>
    </w:p>
    <w:p>
      <w:pPr>
        <w:adjustRightInd w:val="0"/>
        <w:snapToGrid w:val="0"/>
        <w:spacing w:line="360" w:lineRule="auto"/>
        <w:rPr>
          <w:rFonts w:ascii="宋体" w:hAnsi="宋体" w:cs="宋体"/>
          <w:sz w:val="24"/>
        </w:rPr>
      </w:pPr>
    </w:p>
    <w:p>
      <w:pPr>
        <w:tabs>
          <w:tab w:val="left" w:pos="4500"/>
        </w:tabs>
        <w:adjustRightInd w:val="0"/>
        <w:snapToGrid w:val="0"/>
        <w:spacing w:before="234" w:line="360" w:lineRule="auto"/>
        <w:ind w:firstLine="471"/>
        <w:rPr>
          <w:rFonts w:ascii="宋体" w:hAnsi="宋体" w:cs="宋体"/>
          <w:b/>
          <w:sz w:val="24"/>
        </w:rPr>
      </w:pPr>
      <w:r>
        <w:rPr>
          <w:rFonts w:hint="eastAsia" w:ascii="宋体" w:hAnsi="宋体" w:cs="宋体"/>
          <w:b/>
          <w:sz w:val="24"/>
        </w:rPr>
        <w:t>甲方（章）：青岛理工大学</w:t>
      </w:r>
      <w:r>
        <w:rPr>
          <w:rFonts w:hint="eastAsia" w:ascii="宋体" w:hAnsi="宋体" w:cs="宋体"/>
          <w:b/>
          <w:sz w:val="24"/>
        </w:rPr>
        <w:tab/>
      </w:r>
      <w:r>
        <w:rPr>
          <w:rFonts w:hint="eastAsia" w:ascii="宋体" w:hAnsi="宋体" w:cs="宋体"/>
          <w:b/>
          <w:sz w:val="24"/>
        </w:rPr>
        <w:t xml:space="preserve">  乙方（章）：</w:t>
      </w:r>
    </w:p>
    <w:p>
      <w:pPr>
        <w:pStyle w:val="2"/>
        <w:ind w:firstLine="320"/>
        <w:rPr>
          <w:rFonts w:hint="eastAsia"/>
          <w:bCs/>
        </w:rPr>
      </w:pPr>
    </w:p>
    <w:p>
      <w:pPr>
        <w:tabs>
          <w:tab w:val="left" w:pos="4500"/>
        </w:tabs>
        <w:adjustRightInd w:val="0"/>
        <w:snapToGrid w:val="0"/>
        <w:spacing w:line="360" w:lineRule="auto"/>
        <w:ind w:left="5758" w:leftChars="228" w:hanging="5280" w:hangingChars="2200"/>
        <w:rPr>
          <w:rFonts w:ascii="宋体" w:hAnsi="宋体" w:cs="宋体"/>
          <w:bCs/>
          <w:sz w:val="24"/>
        </w:rPr>
      </w:pPr>
      <w:r>
        <w:rPr>
          <w:rFonts w:hint="eastAsia" w:ascii="宋体" w:hAnsi="宋体" w:cs="宋体"/>
          <w:bCs/>
          <w:sz w:val="24"/>
        </w:rPr>
        <w:t xml:space="preserve">地址：市北区抚顺路11号   　　　　　地址： </w:t>
      </w:r>
    </w:p>
    <w:p>
      <w:pPr>
        <w:tabs>
          <w:tab w:val="left" w:pos="4500"/>
        </w:tabs>
        <w:adjustRightInd w:val="0"/>
        <w:snapToGrid w:val="0"/>
        <w:spacing w:line="360" w:lineRule="auto"/>
        <w:ind w:firstLine="480"/>
        <w:rPr>
          <w:rFonts w:ascii="宋体" w:hAnsi="宋体" w:cs="宋体"/>
          <w:bCs/>
          <w:sz w:val="24"/>
        </w:rPr>
      </w:pPr>
      <w:r>
        <w:rPr>
          <w:rFonts w:hint="eastAsia" w:ascii="宋体" w:hAnsi="宋体" w:cs="宋体"/>
          <w:bCs/>
          <w:sz w:val="24"/>
        </w:rPr>
        <w:t>法定代表人（签字）：　　　　　　　　法定代表人（签字）：</w:t>
      </w:r>
    </w:p>
    <w:p>
      <w:pPr>
        <w:tabs>
          <w:tab w:val="left" w:pos="4500"/>
        </w:tabs>
        <w:adjustRightInd w:val="0"/>
        <w:snapToGrid w:val="0"/>
        <w:spacing w:line="360" w:lineRule="auto"/>
        <w:ind w:firstLine="480"/>
        <w:rPr>
          <w:rFonts w:ascii="宋体" w:hAnsi="宋体" w:cs="宋体"/>
          <w:bCs/>
          <w:sz w:val="24"/>
        </w:rPr>
      </w:pPr>
      <w:r>
        <w:rPr>
          <w:rFonts w:hint="eastAsia" w:ascii="宋体" w:hAnsi="宋体" w:cs="宋体"/>
          <w:bCs/>
          <w:sz w:val="24"/>
        </w:rPr>
        <w:t xml:space="preserve">委托代理人：                        委托代理人： </w:t>
      </w:r>
    </w:p>
    <w:p>
      <w:pPr>
        <w:pStyle w:val="2"/>
        <w:ind w:firstLine="320"/>
        <w:rPr>
          <w:rFonts w:hint="eastAsia"/>
          <w:bCs/>
        </w:rPr>
      </w:pPr>
    </w:p>
    <w:p>
      <w:pPr>
        <w:tabs>
          <w:tab w:val="left" w:pos="4500"/>
        </w:tabs>
        <w:adjustRightInd w:val="0"/>
        <w:snapToGrid w:val="0"/>
        <w:spacing w:line="360" w:lineRule="auto"/>
        <w:ind w:firstLine="480"/>
        <w:rPr>
          <w:rFonts w:ascii="宋体" w:hAnsi="宋体" w:cs="宋体"/>
          <w:bCs/>
          <w:sz w:val="24"/>
        </w:rPr>
      </w:pPr>
      <w:r>
        <w:rPr>
          <w:rFonts w:hint="eastAsia" w:ascii="宋体" w:hAnsi="宋体" w:cs="宋体"/>
          <w:bCs/>
          <w:sz w:val="24"/>
        </w:rPr>
        <w:t xml:space="preserve">电话：                              电话： </w:t>
      </w:r>
    </w:p>
    <w:p>
      <w:pPr>
        <w:adjustRightInd w:val="0"/>
        <w:snapToGrid w:val="0"/>
        <w:spacing w:line="360" w:lineRule="auto"/>
        <w:rPr>
          <w:rFonts w:ascii="宋体" w:hAnsi="宋体" w:cs="宋体"/>
          <w:bCs/>
          <w:spacing w:val="-6"/>
          <w:sz w:val="28"/>
          <w:szCs w:val="28"/>
        </w:rPr>
      </w:pPr>
      <w:r>
        <w:rPr>
          <w:rFonts w:hint="eastAsia" w:ascii="宋体" w:hAnsi="宋体" w:cs="宋体"/>
          <w:bCs/>
          <w:sz w:val="24"/>
        </w:rPr>
        <w:t xml:space="preserve"> </w:t>
      </w:r>
      <w:r>
        <w:rPr>
          <w:rFonts w:ascii="宋体" w:hAnsi="宋体" w:cs="宋体"/>
          <w:bCs/>
          <w:sz w:val="24"/>
        </w:rPr>
        <w:t xml:space="preserve">  </w:t>
      </w:r>
      <w:r>
        <w:rPr>
          <w:rFonts w:hint="eastAsia" w:ascii="宋体" w:hAnsi="宋体" w:cs="宋体"/>
          <w:bCs/>
          <w:sz w:val="24"/>
        </w:rPr>
        <w:t>签订时间：2</w:t>
      </w:r>
      <w:r>
        <w:rPr>
          <w:rFonts w:ascii="宋体" w:hAnsi="宋体" w:cs="宋体"/>
          <w:bCs/>
          <w:sz w:val="24"/>
        </w:rPr>
        <w:t xml:space="preserve">0   </w:t>
      </w:r>
      <w:r>
        <w:rPr>
          <w:rFonts w:hint="eastAsia" w:ascii="宋体" w:hAnsi="宋体" w:cs="宋体"/>
          <w:bCs/>
          <w:sz w:val="24"/>
        </w:rPr>
        <w:t xml:space="preserve">年 </w:t>
      </w:r>
      <w:r>
        <w:rPr>
          <w:rFonts w:ascii="宋体" w:hAnsi="宋体" w:cs="宋体"/>
          <w:bCs/>
          <w:sz w:val="24"/>
        </w:rPr>
        <w:t xml:space="preserve">  </w:t>
      </w:r>
      <w:r>
        <w:rPr>
          <w:rFonts w:hint="eastAsia" w:ascii="宋体" w:hAnsi="宋体" w:cs="宋体"/>
          <w:bCs/>
          <w:sz w:val="24"/>
        </w:rPr>
        <w:t xml:space="preserve">月 </w:t>
      </w:r>
      <w:r>
        <w:rPr>
          <w:rFonts w:ascii="宋体" w:hAnsi="宋体" w:cs="宋体"/>
          <w:bCs/>
          <w:sz w:val="24"/>
        </w:rPr>
        <w:t xml:space="preserve"> </w:t>
      </w:r>
      <w:r>
        <w:rPr>
          <w:rFonts w:hint="eastAsia" w:ascii="宋体" w:hAnsi="宋体" w:cs="宋体"/>
          <w:bCs/>
          <w:sz w:val="24"/>
        </w:rPr>
        <w:t>日</w:t>
      </w:r>
    </w:p>
    <w:p>
      <w:pPr>
        <w:adjustRightInd w:val="0"/>
        <w:snapToGrid w:val="0"/>
        <w:spacing w:line="360" w:lineRule="auto"/>
        <w:rPr>
          <w:rFonts w:ascii="宋体" w:hAnsi="宋体" w:cs="宋体"/>
          <w:spacing w:val="-6"/>
          <w:sz w:val="28"/>
          <w:szCs w:val="28"/>
        </w:rPr>
      </w:pPr>
    </w:p>
    <w:p>
      <w:pPr>
        <w:adjustRightInd w:val="0"/>
        <w:snapToGrid w:val="0"/>
        <w:spacing w:line="360" w:lineRule="auto"/>
        <w:rPr>
          <w:rFonts w:ascii="宋体" w:hAnsi="宋体" w:cs="宋体"/>
          <w:spacing w:val="-6"/>
          <w:sz w:val="28"/>
          <w:szCs w:val="28"/>
        </w:rPr>
      </w:pPr>
    </w:p>
    <w:p>
      <w:pPr>
        <w:adjustRightInd w:val="0"/>
        <w:snapToGrid w:val="0"/>
        <w:spacing w:line="360" w:lineRule="auto"/>
        <w:rPr>
          <w:rFonts w:ascii="宋体" w:hAnsi="宋体" w:cs="宋体"/>
          <w:spacing w:val="-6"/>
          <w:sz w:val="28"/>
          <w:szCs w:val="28"/>
        </w:rPr>
      </w:pPr>
    </w:p>
    <w:p>
      <w:pPr>
        <w:adjustRightInd w:val="0"/>
        <w:snapToGrid w:val="0"/>
        <w:spacing w:line="360" w:lineRule="auto"/>
        <w:rPr>
          <w:rFonts w:ascii="宋体" w:hAnsi="宋体" w:cs="宋体"/>
          <w:spacing w:val="-6"/>
          <w:sz w:val="28"/>
          <w:szCs w:val="28"/>
        </w:rPr>
      </w:pPr>
    </w:p>
    <w:p>
      <w:pPr>
        <w:adjustRightInd w:val="0"/>
        <w:snapToGrid w:val="0"/>
        <w:spacing w:line="360" w:lineRule="auto"/>
        <w:rPr>
          <w:rFonts w:ascii="宋体" w:hAnsi="宋体" w:cs="宋体"/>
          <w:spacing w:val="-6"/>
          <w:sz w:val="28"/>
          <w:szCs w:val="28"/>
        </w:rPr>
      </w:pPr>
    </w:p>
    <w:p>
      <w:pPr>
        <w:adjustRightInd w:val="0"/>
        <w:snapToGrid w:val="0"/>
        <w:spacing w:line="360" w:lineRule="auto"/>
        <w:rPr>
          <w:rFonts w:ascii="宋体" w:hAnsi="宋体" w:cs="宋体"/>
          <w:spacing w:val="-6"/>
          <w:sz w:val="28"/>
          <w:szCs w:val="28"/>
        </w:rPr>
      </w:pPr>
    </w:p>
    <w:p>
      <w:pPr>
        <w:adjustRightInd w:val="0"/>
        <w:snapToGrid w:val="0"/>
        <w:spacing w:line="360" w:lineRule="auto"/>
        <w:rPr>
          <w:rFonts w:ascii="宋体" w:hAnsi="宋体" w:cs="宋体"/>
          <w:spacing w:val="-6"/>
          <w:sz w:val="28"/>
          <w:szCs w:val="28"/>
        </w:rPr>
      </w:pPr>
    </w:p>
    <w:p>
      <w:pPr>
        <w:adjustRightInd w:val="0"/>
        <w:snapToGrid w:val="0"/>
        <w:spacing w:line="360" w:lineRule="auto"/>
        <w:rPr>
          <w:rFonts w:ascii="宋体" w:hAnsi="宋体" w:cs="宋体"/>
          <w:spacing w:val="-6"/>
          <w:sz w:val="28"/>
          <w:szCs w:val="28"/>
        </w:rPr>
      </w:pPr>
    </w:p>
    <w:p>
      <w:pPr>
        <w:adjustRightInd w:val="0"/>
        <w:snapToGrid w:val="0"/>
        <w:spacing w:line="360" w:lineRule="auto"/>
        <w:rPr>
          <w:rFonts w:ascii="宋体" w:hAnsi="宋体" w:cs="宋体"/>
          <w:spacing w:val="-6"/>
          <w:sz w:val="28"/>
          <w:szCs w:val="28"/>
        </w:rPr>
      </w:pPr>
      <w:r>
        <w:rPr>
          <w:rFonts w:hint="eastAsia" w:ascii="宋体" w:hAnsi="宋体" w:cs="宋体"/>
          <w:spacing w:val="-6"/>
          <w:sz w:val="28"/>
          <w:szCs w:val="28"/>
        </w:rPr>
        <w:t>合同附件1：</w:t>
      </w:r>
    </w:p>
    <w:p>
      <w:pPr>
        <w:adjustRightInd w:val="0"/>
        <w:snapToGrid w:val="0"/>
        <w:spacing w:line="360" w:lineRule="auto"/>
        <w:jc w:val="center"/>
        <w:rPr>
          <w:rFonts w:ascii="宋体" w:hAnsi="宋体" w:cs="宋体"/>
          <w:spacing w:val="-6"/>
          <w:sz w:val="36"/>
          <w:szCs w:val="36"/>
        </w:rPr>
      </w:pPr>
      <w:r>
        <w:rPr>
          <w:rFonts w:hint="eastAsia" w:ascii="宋体" w:hAnsi="宋体" w:cs="宋体"/>
          <w:spacing w:val="-6"/>
          <w:sz w:val="36"/>
          <w:szCs w:val="36"/>
        </w:rPr>
        <w:t>房屋附属设施、设备清单</w:t>
      </w:r>
    </w:p>
    <w:p>
      <w:pPr>
        <w:adjustRightInd w:val="0"/>
        <w:snapToGrid w:val="0"/>
        <w:spacing w:line="360" w:lineRule="auto"/>
        <w:ind w:right="536"/>
        <w:jc w:val="center"/>
        <w:rPr>
          <w:rFonts w:ascii="宋体" w:hAnsi="宋体" w:cs="宋体"/>
          <w:spacing w:val="-6"/>
          <w:sz w:val="28"/>
          <w:szCs w:val="28"/>
        </w:rPr>
      </w:pPr>
      <w:r>
        <w:rPr>
          <w:rFonts w:hint="eastAsia" w:ascii="宋体" w:hAnsi="宋体" w:cs="宋体"/>
          <w:spacing w:val="-6"/>
          <w:sz w:val="28"/>
          <w:szCs w:val="28"/>
        </w:rPr>
        <w:t xml:space="preserve">                                               货币单位：元</w:t>
      </w:r>
    </w:p>
    <w:tbl>
      <w:tblPr>
        <w:tblStyle w:val="1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57" w:type="dxa"/>
          <w:left w:w="85" w:type="dxa"/>
          <w:bottom w:w="57" w:type="dxa"/>
          <w:right w:w="85" w:type="dxa"/>
        </w:tblCellMar>
      </w:tblPr>
      <w:tblGrid>
        <w:gridCol w:w="770"/>
        <w:gridCol w:w="1246"/>
        <w:gridCol w:w="1190"/>
        <w:gridCol w:w="1135"/>
        <w:gridCol w:w="1020"/>
        <w:gridCol w:w="1167"/>
        <w:gridCol w:w="1190"/>
        <w:gridCol w:w="119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85" w:type="dxa"/>
            <w:bottom w:w="57" w:type="dxa"/>
            <w:right w:w="85"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编号</w:t>
            </w:r>
          </w:p>
        </w:tc>
        <w:tc>
          <w:tcPr>
            <w:tcW w:w="1246"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物品名称</w:t>
            </w: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规格型号</w:t>
            </w:r>
          </w:p>
        </w:tc>
        <w:tc>
          <w:tcPr>
            <w:tcW w:w="1135"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数量</w:t>
            </w:r>
          </w:p>
        </w:tc>
        <w:tc>
          <w:tcPr>
            <w:tcW w:w="102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单 价</w:t>
            </w:r>
          </w:p>
        </w:tc>
        <w:tc>
          <w:tcPr>
            <w:tcW w:w="1167"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物品金额</w:t>
            </w: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简单说明</w:t>
            </w: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备 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85" w:type="dxa"/>
            <w:bottom w:w="57" w:type="dxa"/>
            <w:right w:w="85"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pPr>
              <w:pStyle w:val="7"/>
              <w:numPr>
                <w:ilvl w:val="0"/>
                <w:numId w:val="3"/>
              </w:numPr>
              <w:adjustRightInd w:val="0"/>
              <w:snapToGrid w:val="0"/>
              <w:spacing w:line="360" w:lineRule="auto"/>
              <w:jc w:val="center"/>
              <w:rPr>
                <w:rFonts w:hAnsi="宋体" w:cs="宋体"/>
              </w:rPr>
            </w:pPr>
          </w:p>
        </w:tc>
        <w:tc>
          <w:tcPr>
            <w:tcW w:w="1246"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 xml:space="preserve"> </w:t>
            </w: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 xml:space="preserve"> </w:t>
            </w:r>
          </w:p>
        </w:tc>
        <w:tc>
          <w:tcPr>
            <w:tcW w:w="1135"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 xml:space="preserve"> </w:t>
            </w:r>
          </w:p>
        </w:tc>
        <w:tc>
          <w:tcPr>
            <w:tcW w:w="102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67"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85" w:type="dxa"/>
            <w:bottom w:w="57" w:type="dxa"/>
            <w:right w:w="85"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pPr>
              <w:pStyle w:val="7"/>
              <w:numPr>
                <w:ilvl w:val="0"/>
                <w:numId w:val="3"/>
              </w:numPr>
              <w:adjustRightInd w:val="0"/>
              <w:snapToGrid w:val="0"/>
              <w:spacing w:line="360" w:lineRule="auto"/>
              <w:jc w:val="center"/>
              <w:rPr>
                <w:rFonts w:hAnsi="宋体" w:cs="宋体"/>
              </w:rPr>
            </w:pPr>
          </w:p>
        </w:tc>
        <w:tc>
          <w:tcPr>
            <w:tcW w:w="1246"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 xml:space="preserve"> </w:t>
            </w: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 xml:space="preserve"> </w:t>
            </w:r>
          </w:p>
        </w:tc>
        <w:tc>
          <w:tcPr>
            <w:tcW w:w="1135"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02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67"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85" w:type="dxa"/>
            <w:bottom w:w="57" w:type="dxa"/>
            <w:right w:w="85"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pPr>
              <w:pStyle w:val="7"/>
              <w:numPr>
                <w:ilvl w:val="0"/>
                <w:numId w:val="3"/>
              </w:numPr>
              <w:adjustRightInd w:val="0"/>
              <w:snapToGrid w:val="0"/>
              <w:spacing w:line="360" w:lineRule="auto"/>
              <w:jc w:val="center"/>
              <w:rPr>
                <w:rFonts w:hAnsi="宋体" w:cs="宋体"/>
              </w:rPr>
            </w:pPr>
          </w:p>
        </w:tc>
        <w:tc>
          <w:tcPr>
            <w:tcW w:w="1246"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 xml:space="preserve"> </w:t>
            </w: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 xml:space="preserve"> </w:t>
            </w:r>
          </w:p>
        </w:tc>
        <w:tc>
          <w:tcPr>
            <w:tcW w:w="1135"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 xml:space="preserve"> </w:t>
            </w:r>
          </w:p>
        </w:tc>
        <w:tc>
          <w:tcPr>
            <w:tcW w:w="102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67"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 xml:space="preserve"> </w:t>
            </w: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85" w:type="dxa"/>
            <w:bottom w:w="57" w:type="dxa"/>
            <w:right w:w="85"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pPr>
              <w:pStyle w:val="7"/>
              <w:numPr>
                <w:ilvl w:val="0"/>
                <w:numId w:val="3"/>
              </w:numPr>
              <w:adjustRightInd w:val="0"/>
              <w:snapToGrid w:val="0"/>
              <w:spacing w:line="360" w:lineRule="auto"/>
              <w:jc w:val="center"/>
              <w:rPr>
                <w:rFonts w:hAnsi="宋体" w:cs="宋体"/>
              </w:rPr>
            </w:pPr>
          </w:p>
        </w:tc>
        <w:tc>
          <w:tcPr>
            <w:tcW w:w="1246"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35"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02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67"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85" w:type="dxa"/>
            <w:bottom w:w="57" w:type="dxa"/>
            <w:right w:w="85"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pPr>
              <w:pStyle w:val="7"/>
              <w:numPr>
                <w:ilvl w:val="0"/>
                <w:numId w:val="3"/>
              </w:numPr>
              <w:adjustRightInd w:val="0"/>
              <w:snapToGrid w:val="0"/>
              <w:spacing w:line="360" w:lineRule="auto"/>
              <w:jc w:val="center"/>
              <w:rPr>
                <w:rFonts w:hAnsi="宋体" w:cs="宋体"/>
              </w:rPr>
            </w:pPr>
          </w:p>
        </w:tc>
        <w:tc>
          <w:tcPr>
            <w:tcW w:w="1246"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35"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02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67"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85" w:type="dxa"/>
            <w:bottom w:w="57" w:type="dxa"/>
            <w:right w:w="85"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pPr>
              <w:pStyle w:val="7"/>
              <w:numPr>
                <w:ilvl w:val="0"/>
                <w:numId w:val="3"/>
              </w:numPr>
              <w:adjustRightInd w:val="0"/>
              <w:snapToGrid w:val="0"/>
              <w:spacing w:line="360" w:lineRule="auto"/>
              <w:jc w:val="center"/>
              <w:rPr>
                <w:rFonts w:hAnsi="宋体" w:cs="宋体"/>
              </w:rPr>
            </w:pPr>
          </w:p>
        </w:tc>
        <w:tc>
          <w:tcPr>
            <w:tcW w:w="1246"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35"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02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67"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85" w:type="dxa"/>
            <w:bottom w:w="57" w:type="dxa"/>
            <w:right w:w="85"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pPr>
              <w:pStyle w:val="7"/>
              <w:numPr>
                <w:ilvl w:val="0"/>
                <w:numId w:val="3"/>
              </w:numPr>
              <w:adjustRightInd w:val="0"/>
              <w:snapToGrid w:val="0"/>
              <w:spacing w:line="360" w:lineRule="auto"/>
              <w:jc w:val="center"/>
              <w:rPr>
                <w:rFonts w:hAnsi="宋体" w:cs="宋体"/>
              </w:rPr>
            </w:pPr>
          </w:p>
        </w:tc>
        <w:tc>
          <w:tcPr>
            <w:tcW w:w="1246"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35"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02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67"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85" w:type="dxa"/>
            <w:bottom w:w="57" w:type="dxa"/>
            <w:right w:w="85"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pPr>
              <w:pStyle w:val="7"/>
              <w:numPr>
                <w:ilvl w:val="0"/>
                <w:numId w:val="3"/>
              </w:numPr>
              <w:adjustRightInd w:val="0"/>
              <w:snapToGrid w:val="0"/>
              <w:spacing w:line="360" w:lineRule="auto"/>
              <w:jc w:val="center"/>
              <w:rPr>
                <w:rFonts w:hAnsi="宋体" w:cs="宋体"/>
              </w:rPr>
            </w:pPr>
          </w:p>
        </w:tc>
        <w:tc>
          <w:tcPr>
            <w:tcW w:w="1246"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35"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02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67"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85" w:type="dxa"/>
            <w:bottom w:w="57" w:type="dxa"/>
            <w:right w:w="85"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pPr>
              <w:pStyle w:val="7"/>
              <w:numPr>
                <w:ilvl w:val="0"/>
                <w:numId w:val="3"/>
              </w:numPr>
              <w:adjustRightInd w:val="0"/>
              <w:snapToGrid w:val="0"/>
              <w:spacing w:line="360" w:lineRule="auto"/>
              <w:jc w:val="center"/>
              <w:rPr>
                <w:rFonts w:hAnsi="宋体" w:cs="宋体"/>
              </w:rPr>
            </w:pPr>
          </w:p>
        </w:tc>
        <w:tc>
          <w:tcPr>
            <w:tcW w:w="1246"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35"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02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67"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85" w:type="dxa"/>
            <w:bottom w:w="57" w:type="dxa"/>
            <w:right w:w="85"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pPr>
              <w:pStyle w:val="7"/>
              <w:numPr>
                <w:ilvl w:val="0"/>
                <w:numId w:val="3"/>
              </w:numPr>
              <w:adjustRightInd w:val="0"/>
              <w:snapToGrid w:val="0"/>
              <w:spacing w:line="360" w:lineRule="auto"/>
              <w:jc w:val="center"/>
              <w:rPr>
                <w:rFonts w:hAnsi="宋体" w:cs="宋体"/>
              </w:rPr>
            </w:pPr>
          </w:p>
        </w:tc>
        <w:tc>
          <w:tcPr>
            <w:tcW w:w="1246"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35"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02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67"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85" w:type="dxa"/>
            <w:bottom w:w="57" w:type="dxa"/>
            <w:right w:w="85"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pPr>
              <w:pStyle w:val="7"/>
              <w:numPr>
                <w:ilvl w:val="0"/>
                <w:numId w:val="3"/>
              </w:numPr>
              <w:adjustRightInd w:val="0"/>
              <w:snapToGrid w:val="0"/>
              <w:spacing w:line="360" w:lineRule="auto"/>
              <w:jc w:val="center"/>
              <w:rPr>
                <w:rFonts w:hAnsi="宋体" w:cs="宋体"/>
              </w:rPr>
            </w:pPr>
          </w:p>
        </w:tc>
        <w:tc>
          <w:tcPr>
            <w:tcW w:w="1246"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35"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02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67"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85" w:type="dxa"/>
            <w:bottom w:w="57" w:type="dxa"/>
            <w:right w:w="85" w:type="dxa"/>
          </w:tblCellMar>
        </w:tblPrEx>
        <w:trPr>
          <w:trHeight w:val="355" w:hRule="atLeast"/>
          <w:jc w:val="center"/>
        </w:trPr>
        <w:tc>
          <w:tcPr>
            <w:tcW w:w="770" w:type="dxa"/>
            <w:tcBorders>
              <w:top w:val="single" w:color="auto" w:sz="4" w:space="0"/>
              <w:left w:val="single" w:color="auto" w:sz="4" w:space="0"/>
              <w:bottom w:val="single" w:color="auto" w:sz="4" w:space="0"/>
              <w:right w:val="single" w:color="auto" w:sz="4" w:space="0"/>
            </w:tcBorders>
            <w:vAlign w:val="center"/>
          </w:tcPr>
          <w:p>
            <w:pPr>
              <w:pStyle w:val="7"/>
              <w:numPr>
                <w:ilvl w:val="0"/>
                <w:numId w:val="3"/>
              </w:numPr>
              <w:adjustRightInd w:val="0"/>
              <w:snapToGrid w:val="0"/>
              <w:spacing w:line="360" w:lineRule="auto"/>
              <w:jc w:val="center"/>
              <w:rPr>
                <w:rFonts w:hAnsi="宋体" w:cs="宋体"/>
              </w:rPr>
            </w:pPr>
          </w:p>
        </w:tc>
        <w:tc>
          <w:tcPr>
            <w:tcW w:w="1246"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35"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02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67"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c>
          <w:tcPr>
            <w:tcW w:w="1190" w:type="dxa"/>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85" w:type="dxa"/>
            <w:bottom w:w="57" w:type="dxa"/>
            <w:right w:w="85" w:type="dxa"/>
          </w:tblCellMar>
        </w:tblPrEx>
        <w:trPr>
          <w:trHeight w:val="355" w:hRule="atLeast"/>
          <w:jc w:val="center"/>
        </w:trPr>
        <w:tc>
          <w:tcPr>
            <w:tcW w:w="8908" w:type="dxa"/>
            <w:gridSpan w:val="8"/>
            <w:tcBorders>
              <w:top w:val="single" w:color="auto" w:sz="4" w:space="0"/>
              <w:left w:val="single" w:color="auto" w:sz="4" w:space="0"/>
              <w:bottom w:val="single" w:color="auto" w:sz="4" w:space="0"/>
              <w:right w:val="single" w:color="auto" w:sz="4" w:space="0"/>
            </w:tcBorders>
            <w:vAlign w:val="center"/>
          </w:tcPr>
          <w:p>
            <w:pPr>
              <w:pStyle w:val="7"/>
              <w:adjustRightInd w:val="0"/>
              <w:snapToGrid w:val="0"/>
              <w:spacing w:line="360" w:lineRule="auto"/>
              <w:jc w:val="center"/>
              <w:rPr>
                <w:rFonts w:hAnsi="宋体" w:cs="宋体"/>
              </w:rPr>
            </w:pPr>
            <w:r>
              <w:rPr>
                <w:rFonts w:hint="eastAsia" w:hAnsi="宋体" w:cs="宋体"/>
              </w:rPr>
              <w:t>物品损坏的赔偿约定：</w:t>
            </w:r>
          </w:p>
          <w:p>
            <w:pPr>
              <w:pStyle w:val="7"/>
              <w:adjustRightInd w:val="0"/>
              <w:snapToGrid w:val="0"/>
              <w:spacing w:line="360" w:lineRule="auto"/>
              <w:jc w:val="center"/>
              <w:rPr>
                <w:rFonts w:hAnsi="宋体" w:cs="宋体"/>
              </w:rPr>
            </w:pPr>
          </w:p>
        </w:tc>
      </w:tr>
    </w:tbl>
    <w:p>
      <w:pPr>
        <w:pStyle w:val="7"/>
        <w:adjustRightInd w:val="0"/>
        <w:snapToGrid w:val="0"/>
        <w:spacing w:line="360" w:lineRule="auto"/>
        <w:ind w:left="420" w:leftChars="100" w:hanging="210" w:hangingChars="100"/>
        <w:rPr>
          <w:rFonts w:hAnsi="宋体" w:cs="宋体"/>
        </w:rPr>
      </w:pPr>
      <w:r>
        <w:rPr>
          <w:rFonts w:hint="eastAsia" w:hAnsi="宋体" w:cs="宋体"/>
        </w:rPr>
        <w:t>注：甲乙双方可直接在本清单填写内容并签字盖章，也可将自行拟定并签字盖章的《房屋附属设施、设备清单》附在本页，本附页为合同的组成部分，与合同具同等法律效力。</w:t>
      </w:r>
    </w:p>
    <w:p>
      <w:pPr>
        <w:pStyle w:val="17"/>
        <w:ind w:left="1680" w:firstLine="0" w:firstLineChars="0"/>
        <w:rPr>
          <w:rFonts w:ascii="宋体" w:hAnsi="宋体" w:cs="宋体"/>
        </w:rPr>
      </w:pPr>
    </w:p>
    <w:p>
      <w:pPr>
        <w:pStyle w:val="17"/>
        <w:spacing w:line="600" w:lineRule="exact"/>
        <w:ind w:firstLine="0" w:firstLineChars="0"/>
        <w:rPr>
          <w:rFonts w:ascii="宋体" w:hAnsi="宋体" w:cs="宋体"/>
        </w:rPr>
      </w:pPr>
    </w:p>
    <w:p/>
    <w:sectPr>
      <w:headerReference r:id="rId3" w:type="default"/>
      <w:footerReference r:id="rId4" w:type="default"/>
      <w:pgSz w:w="11906" w:h="16838"/>
      <w:pgMar w:top="1440" w:right="1133" w:bottom="1440" w:left="1560"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81635" cy="197485"/>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1635" cy="197485"/>
                      </a:xfrm>
                      <a:prstGeom prst="rect">
                        <a:avLst/>
                      </a:prstGeom>
                      <a:noFill/>
                      <a:ln>
                        <a:noFill/>
                      </a:ln>
                      <a:effectLst/>
                    </wps:spPr>
                    <wps:txbx>
                      <w:txbxContent>
                        <w:p>
                          <w:pPr>
                            <w:pStyle w:val="8"/>
                            <w:jc w:val="center"/>
                          </w:pPr>
                          <w:r>
                            <w:fldChar w:fldCharType="begin"/>
                          </w:r>
                          <w:r>
                            <w:instrText xml:space="preserve">PAGE   \* MERGEFORMAT</w:instrText>
                          </w:r>
                          <w:r>
                            <w:fldChar w:fldCharType="separate"/>
                          </w:r>
                          <w:r>
                            <w:rPr>
                              <w:lang w:val="zh-CN"/>
                            </w:rPr>
                            <w:t>9</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5.55pt;width:30.05pt;mso-position-horizontal:center;mso-position-horizontal-relative:margin;mso-wrap-style:none;z-index:251659264;mso-width-relative:page;mso-height-relative:page;" filled="f" stroked="f" coordsize="21600,21600" o:gfxdata="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231tHRAAAAAwEAAA8AAAAAAAAAAQAgAAAAIgAA&#10;AGRycy9kb3ducmV2LnhtbFBLAQIUABQAAAAIAIdO4kBN9UNYDwIAABAEAAAOAAAAAAAAAAEAIAAA&#10;ACABAABkcnMvZTJvRG9jLnhtbFBLBQYAAAAABgAGAFkBAAChBQAAAAA=&#10;">
              <v:fill on="f" focussize="0,0"/>
              <v:stroke on="f"/>
              <v:imagedata o:title=""/>
              <o:lock v:ext="edit" aspectratio="f"/>
              <v:textbox inset="0mm,0mm,0mm,0mm" style="mso-fit-shape-to-text:t;">
                <w:txbxContent>
                  <w:p>
                    <w:pPr>
                      <w:pStyle w:val="8"/>
                      <w:jc w:val="center"/>
                    </w:pPr>
                    <w:r>
                      <w:fldChar w:fldCharType="begin"/>
                    </w:r>
                    <w:r>
                      <w:instrText xml:space="preserve">PAGE   \* MERGEFORMAT</w:instrText>
                    </w:r>
                    <w:r>
                      <w:fldChar w:fldCharType="separate"/>
                    </w:r>
                    <w:r>
                      <w:rPr>
                        <w:lang w:val="zh-CN"/>
                      </w:rPr>
                      <w:t>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7"/>
    <w:multiLevelType w:val="multilevel"/>
    <w:tmpl w:val="00000017"/>
    <w:lvl w:ilvl="0" w:tentative="0">
      <w:start w:val="1"/>
      <w:numFmt w:val="decimal"/>
      <w:suff w:val="nothing"/>
      <w:lvlText w:val="%1"/>
      <w:lvlJc w:val="left"/>
      <w:pPr>
        <w:ind w:left="578" w:hanging="578"/>
      </w:pPr>
      <w:rPr>
        <w:rFonts w:hint="eastAsia"/>
      </w:rPr>
    </w:lvl>
    <w:lvl w:ilvl="1" w:tentative="0">
      <w:start w:val="4"/>
      <w:numFmt w:val="decimal"/>
      <w:lvlText w:val="%2."/>
      <w:lvlJc w:val="left"/>
      <w:pPr>
        <w:tabs>
          <w:tab w:val="left" w:pos="792"/>
        </w:tabs>
        <w:ind w:left="792" w:hanging="432"/>
      </w:pPr>
      <w:rPr>
        <w:rFonts w:hint="eastAsia"/>
      </w:rPr>
    </w:lvl>
    <w:lvl w:ilvl="2" w:tentative="0">
      <w:start w:val="1"/>
      <w:numFmt w:val="decimal"/>
      <w:lvlText w:val="%1.%2.%3."/>
      <w:lvlJc w:val="left"/>
      <w:pPr>
        <w:tabs>
          <w:tab w:val="left" w:pos="1224"/>
        </w:tabs>
        <w:ind w:left="1224" w:hanging="504"/>
      </w:pPr>
      <w:rPr>
        <w:rFonts w:hint="eastAsia"/>
      </w:rPr>
    </w:lvl>
    <w:lvl w:ilvl="3" w:tentative="0">
      <w:start w:val="1"/>
      <w:numFmt w:val="decimal"/>
      <w:lvlText w:val="%1.%2.%3.%4."/>
      <w:lvlJc w:val="left"/>
      <w:pPr>
        <w:tabs>
          <w:tab w:val="left" w:pos="1728"/>
        </w:tabs>
        <w:ind w:left="1728" w:hanging="648"/>
      </w:pPr>
      <w:rPr>
        <w:rFonts w:hint="eastAsia"/>
      </w:rPr>
    </w:lvl>
    <w:lvl w:ilvl="4" w:tentative="0">
      <w:start w:val="1"/>
      <w:numFmt w:val="decimal"/>
      <w:lvlText w:val="%1.%2.%3.%4.%5."/>
      <w:lvlJc w:val="left"/>
      <w:pPr>
        <w:tabs>
          <w:tab w:val="left" w:pos="2232"/>
        </w:tabs>
        <w:ind w:left="2232" w:hanging="792"/>
      </w:pPr>
      <w:rPr>
        <w:rFonts w:hint="eastAsia"/>
      </w:rPr>
    </w:lvl>
    <w:lvl w:ilvl="5" w:tentative="0">
      <w:start w:val="1"/>
      <w:numFmt w:val="decimal"/>
      <w:lvlText w:val="%1.%2.%3.%4.%5.%6."/>
      <w:lvlJc w:val="left"/>
      <w:pPr>
        <w:tabs>
          <w:tab w:val="left" w:pos="2880"/>
        </w:tabs>
        <w:ind w:left="2736" w:hanging="936"/>
      </w:pPr>
      <w:rPr>
        <w:rFonts w:hint="eastAsia"/>
      </w:rPr>
    </w:lvl>
    <w:lvl w:ilvl="6" w:tentative="0">
      <w:start w:val="1"/>
      <w:numFmt w:val="decimal"/>
      <w:lvlText w:val="%1.%2.%3.%4.%5.%6.%7."/>
      <w:lvlJc w:val="left"/>
      <w:pPr>
        <w:tabs>
          <w:tab w:val="left" w:pos="3600"/>
        </w:tabs>
        <w:ind w:left="3240" w:hanging="1080"/>
      </w:pPr>
      <w:rPr>
        <w:rFonts w:hint="eastAsia"/>
      </w:rPr>
    </w:lvl>
    <w:lvl w:ilvl="7" w:tentative="0">
      <w:start w:val="1"/>
      <w:numFmt w:val="decimal"/>
      <w:lvlText w:val="%1.%2.%3.%4.%5.%6.%7.%8."/>
      <w:lvlJc w:val="left"/>
      <w:pPr>
        <w:tabs>
          <w:tab w:val="left" w:pos="3960"/>
        </w:tabs>
        <w:ind w:left="3744" w:hanging="1224"/>
      </w:pPr>
      <w:rPr>
        <w:rFonts w:hint="eastAsia"/>
      </w:rPr>
    </w:lvl>
    <w:lvl w:ilvl="8" w:tentative="0">
      <w:start w:val="1"/>
      <w:numFmt w:val="decimal"/>
      <w:lvlText w:val="%1.%2.%3.%4.%5.%6.%7.%8.%9."/>
      <w:lvlJc w:val="left"/>
      <w:pPr>
        <w:tabs>
          <w:tab w:val="left" w:pos="4320"/>
        </w:tabs>
        <w:ind w:left="4320" w:hanging="1440"/>
      </w:pPr>
      <w:rPr>
        <w:rFonts w:hint="eastAsia"/>
      </w:rPr>
    </w:lvl>
  </w:abstractNum>
  <w:abstractNum w:abstractNumId="1">
    <w:nsid w:val="0000001B"/>
    <w:multiLevelType w:val="multilevel"/>
    <w:tmpl w:val="0000001B"/>
    <w:lvl w:ilvl="0" w:tentative="0">
      <w:start w:val="1"/>
      <w:numFmt w:val="chineseCountingThousand"/>
      <w:suff w:val="nothing"/>
      <w:lvlText w:val="第%1条"/>
      <w:lvlJc w:val="left"/>
      <w:pPr>
        <w:ind w:left="0" w:firstLine="420"/>
      </w:pPr>
      <w:rPr>
        <w:rFonts w:hint="eastAsia"/>
        <w:color w:val="000000"/>
        <w:lang w:val="en-US"/>
      </w:rPr>
    </w:lvl>
    <w:lvl w:ilvl="1" w:tentative="0">
      <w:start w:val="1"/>
      <w:numFmt w:val="chineseCountingThousand"/>
      <w:suff w:val="nothing"/>
      <w:lvlText w:val="（%2）"/>
      <w:lvlJc w:val="left"/>
      <w:pPr>
        <w:ind w:left="-1" w:firstLine="0"/>
      </w:pPr>
      <w:rPr>
        <w:rFonts w:hint="eastAsia"/>
        <w:color w:val="000000"/>
      </w:rPr>
    </w:lvl>
    <w:lvl w:ilvl="2" w:tentative="0">
      <w:start w:val="1"/>
      <w:numFmt w:val="decimal"/>
      <w:suff w:val="nothing"/>
      <w:lvlText w:val="%3．"/>
      <w:lvlJc w:val="left"/>
      <w:rPr>
        <w:rFonts w:hint="eastAsia" w:ascii="Times New Roman" w:hAnsi="Times New Roman"/>
        <w:i w:val="0"/>
        <w:caps w:val="0"/>
        <w:smallCaps w:val="0"/>
        <w:strike w:val="0"/>
        <w:dstrike w:val="0"/>
        <w:vanish w:val="0"/>
        <w:color w:val="000000"/>
        <w:spacing w:val="0"/>
        <w:position w:val="0"/>
        <w:u w:val="none"/>
        <w:vertAlign w:val="baseline"/>
      </w:rPr>
    </w:lvl>
    <w:lvl w:ilvl="3" w:tentative="0">
      <w:start w:val="1"/>
      <w:numFmt w:val="decimal"/>
      <w:suff w:val="nothing"/>
      <w:lvlText w:val="（%4）"/>
      <w:lvlJc w:val="left"/>
      <w:pPr>
        <w:ind w:left="0" w:firstLine="403"/>
      </w:pPr>
      <w:rPr>
        <w:rFonts w:hint="eastAsia"/>
        <w:color w:val="000000"/>
      </w:rPr>
    </w:lvl>
    <w:lvl w:ilvl="4" w:tentative="0">
      <w:start w:val="1"/>
      <w:numFmt w:val="decimal"/>
      <w:suff w:val="nothing"/>
      <w:lvlText w:val="%5 "/>
      <w:lvlJc w:val="left"/>
      <w:pPr>
        <w:ind w:left="0" w:firstLine="403"/>
      </w:pPr>
      <w:rPr>
        <w:rFonts w:hint="eastAsia"/>
        <w:color w:val="000000"/>
      </w:rPr>
    </w:lvl>
    <w:lvl w:ilvl="5" w:tentative="0">
      <w:start w:val="1"/>
      <w:numFmt w:val="decimal"/>
      <w:suff w:val="space"/>
      <w:lvlText w:val="%6）"/>
      <w:lvlJc w:val="left"/>
      <w:pPr>
        <w:ind w:left="0" w:firstLine="454"/>
      </w:pPr>
      <w:rPr>
        <w:rFonts w:hint="eastAsia"/>
        <w:color w:val="000000"/>
      </w:rPr>
    </w:lvl>
    <w:lvl w:ilvl="6" w:tentative="0">
      <w:start w:val="1"/>
      <w:numFmt w:val="lowerLetter"/>
      <w:suff w:val="space"/>
      <w:lvlText w:val="%7．"/>
      <w:lvlJc w:val="left"/>
      <w:pPr>
        <w:ind w:left="0" w:firstLine="454"/>
      </w:pPr>
      <w:rPr>
        <w:rFonts w:hint="eastAsia"/>
        <w:color w:val="000000"/>
      </w:rPr>
    </w:lvl>
    <w:lvl w:ilvl="7" w:tentative="0">
      <w:start w:val="1"/>
      <w:numFmt w:val="lowerLetter"/>
      <w:suff w:val="space"/>
      <w:lvlText w:val="%8）"/>
      <w:lvlJc w:val="left"/>
      <w:pPr>
        <w:ind w:left="0" w:firstLine="454"/>
      </w:pPr>
      <w:rPr>
        <w:rFonts w:hint="eastAsia"/>
        <w:color w:val="000000"/>
      </w:rPr>
    </w:lvl>
    <w:lvl w:ilvl="8" w:tentative="0">
      <w:start w:val="1"/>
      <w:numFmt w:val="lowerRoman"/>
      <w:suff w:val="space"/>
      <w:lvlText w:val="%9. "/>
      <w:lvlJc w:val="left"/>
      <w:pPr>
        <w:ind w:left="0" w:firstLine="454"/>
      </w:pPr>
      <w:rPr>
        <w:rFonts w:hint="eastAsia"/>
        <w:color w:val="000000"/>
      </w:rPr>
    </w:lvl>
  </w:abstractNum>
  <w:abstractNum w:abstractNumId="2">
    <w:nsid w:val="4A596C94"/>
    <w:multiLevelType w:val="multilevel"/>
    <w:tmpl w:val="4A596C94"/>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E2YThmY2U4NzY2Mjc1OTBlZmRiMmE2NWMzNTgwMGMifQ=="/>
  </w:docVars>
  <w:rsids>
    <w:rsidRoot w:val="0072152F"/>
    <w:rsid w:val="00033064"/>
    <w:rsid w:val="00073496"/>
    <w:rsid w:val="000743E5"/>
    <w:rsid w:val="000A715F"/>
    <w:rsid w:val="00120FD7"/>
    <w:rsid w:val="00142F54"/>
    <w:rsid w:val="00157EDD"/>
    <w:rsid w:val="0019553E"/>
    <w:rsid w:val="001C0460"/>
    <w:rsid w:val="001C6049"/>
    <w:rsid w:val="00203242"/>
    <w:rsid w:val="00270C0C"/>
    <w:rsid w:val="0029268C"/>
    <w:rsid w:val="002B78F8"/>
    <w:rsid w:val="002D0371"/>
    <w:rsid w:val="002D14AA"/>
    <w:rsid w:val="002D1915"/>
    <w:rsid w:val="00305E9E"/>
    <w:rsid w:val="003336D5"/>
    <w:rsid w:val="00334194"/>
    <w:rsid w:val="00344F5A"/>
    <w:rsid w:val="00353C95"/>
    <w:rsid w:val="00356401"/>
    <w:rsid w:val="00377FB0"/>
    <w:rsid w:val="003D0207"/>
    <w:rsid w:val="00446F62"/>
    <w:rsid w:val="0045022C"/>
    <w:rsid w:val="00454645"/>
    <w:rsid w:val="004733B2"/>
    <w:rsid w:val="00495CAE"/>
    <w:rsid w:val="004A086B"/>
    <w:rsid w:val="004A4871"/>
    <w:rsid w:val="004B7667"/>
    <w:rsid w:val="00551840"/>
    <w:rsid w:val="005A7B0D"/>
    <w:rsid w:val="005B0082"/>
    <w:rsid w:val="006147C6"/>
    <w:rsid w:val="00623561"/>
    <w:rsid w:val="006F437D"/>
    <w:rsid w:val="007209DE"/>
    <w:rsid w:val="0072152F"/>
    <w:rsid w:val="0072479C"/>
    <w:rsid w:val="00737CA6"/>
    <w:rsid w:val="00770193"/>
    <w:rsid w:val="00782C86"/>
    <w:rsid w:val="007A1508"/>
    <w:rsid w:val="007B4195"/>
    <w:rsid w:val="00801171"/>
    <w:rsid w:val="00837A1C"/>
    <w:rsid w:val="00880C2B"/>
    <w:rsid w:val="008A356C"/>
    <w:rsid w:val="008B0EFF"/>
    <w:rsid w:val="00903734"/>
    <w:rsid w:val="00921914"/>
    <w:rsid w:val="009511EC"/>
    <w:rsid w:val="00956E62"/>
    <w:rsid w:val="009A007F"/>
    <w:rsid w:val="009C7138"/>
    <w:rsid w:val="009D4DA0"/>
    <w:rsid w:val="009E03E4"/>
    <w:rsid w:val="009E1347"/>
    <w:rsid w:val="00A13505"/>
    <w:rsid w:val="00A1449B"/>
    <w:rsid w:val="00A84FDD"/>
    <w:rsid w:val="00A86686"/>
    <w:rsid w:val="00AC184B"/>
    <w:rsid w:val="00AC3412"/>
    <w:rsid w:val="00AE4B15"/>
    <w:rsid w:val="00AE78A0"/>
    <w:rsid w:val="00AF1C6F"/>
    <w:rsid w:val="00B000BA"/>
    <w:rsid w:val="00B145C6"/>
    <w:rsid w:val="00B815EF"/>
    <w:rsid w:val="00B9071C"/>
    <w:rsid w:val="00BB03BB"/>
    <w:rsid w:val="00BB2B0C"/>
    <w:rsid w:val="00BC139A"/>
    <w:rsid w:val="00BF76A8"/>
    <w:rsid w:val="00C04A82"/>
    <w:rsid w:val="00C155A8"/>
    <w:rsid w:val="00C37BE0"/>
    <w:rsid w:val="00C506EC"/>
    <w:rsid w:val="00C53BD7"/>
    <w:rsid w:val="00C644E0"/>
    <w:rsid w:val="00CA19FD"/>
    <w:rsid w:val="00D01501"/>
    <w:rsid w:val="00D6780D"/>
    <w:rsid w:val="00D757D1"/>
    <w:rsid w:val="00DA3074"/>
    <w:rsid w:val="00DB01D6"/>
    <w:rsid w:val="00E0763E"/>
    <w:rsid w:val="00E45BFE"/>
    <w:rsid w:val="00E6569A"/>
    <w:rsid w:val="00E963FE"/>
    <w:rsid w:val="00EB01B0"/>
    <w:rsid w:val="00EF5FD9"/>
    <w:rsid w:val="00F15871"/>
    <w:rsid w:val="00F1589F"/>
    <w:rsid w:val="00F37DB2"/>
    <w:rsid w:val="00F6541B"/>
    <w:rsid w:val="00F844EB"/>
    <w:rsid w:val="00F937B0"/>
    <w:rsid w:val="00FC018E"/>
    <w:rsid w:val="00FE14D7"/>
    <w:rsid w:val="012C4189"/>
    <w:rsid w:val="02EC1928"/>
    <w:rsid w:val="05A9520D"/>
    <w:rsid w:val="060D5C42"/>
    <w:rsid w:val="0664493D"/>
    <w:rsid w:val="06E530AB"/>
    <w:rsid w:val="08097518"/>
    <w:rsid w:val="0964153B"/>
    <w:rsid w:val="0BC534AB"/>
    <w:rsid w:val="0F2904D1"/>
    <w:rsid w:val="111927C8"/>
    <w:rsid w:val="1432607A"/>
    <w:rsid w:val="14DF6879"/>
    <w:rsid w:val="16C60CFC"/>
    <w:rsid w:val="1741068E"/>
    <w:rsid w:val="179E57D5"/>
    <w:rsid w:val="19B525D0"/>
    <w:rsid w:val="19C63E29"/>
    <w:rsid w:val="19E41C80"/>
    <w:rsid w:val="1C8B15F7"/>
    <w:rsid w:val="1E4C7D38"/>
    <w:rsid w:val="1EB83620"/>
    <w:rsid w:val="1FD41DD6"/>
    <w:rsid w:val="200A1C59"/>
    <w:rsid w:val="20BB73F7"/>
    <w:rsid w:val="215D65F0"/>
    <w:rsid w:val="21E945B2"/>
    <w:rsid w:val="22307FD6"/>
    <w:rsid w:val="24B439EE"/>
    <w:rsid w:val="24BB3B07"/>
    <w:rsid w:val="24C85C3F"/>
    <w:rsid w:val="257A33DD"/>
    <w:rsid w:val="26887D7C"/>
    <w:rsid w:val="27036FCD"/>
    <w:rsid w:val="2862422F"/>
    <w:rsid w:val="287B1AB4"/>
    <w:rsid w:val="29890093"/>
    <w:rsid w:val="2A4A126D"/>
    <w:rsid w:val="2BEF4D47"/>
    <w:rsid w:val="2C1763B5"/>
    <w:rsid w:val="2D236108"/>
    <w:rsid w:val="2D425F37"/>
    <w:rsid w:val="2E6B1205"/>
    <w:rsid w:val="30844A1A"/>
    <w:rsid w:val="32DC15E2"/>
    <w:rsid w:val="35527B0D"/>
    <w:rsid w:val="362A0AFD"/>
    <w:rsid w:val="3930052B"/>
    <w:rsid w:val="395555BF"/>
    <w:rsid w:val="39863024"/>
    <w:rsid w:val="3DC72AE0"/>
    <w:rsid w:val="3E815385"/>
    <w:rsid w:val="3FA7706D"/>
    <w:rsid w:val="40833636"/>
    <w:rsid w:val="408F7ACF"/>
    <w:rsid w:val="410302D3"/>
    <w:rsid w:val="42925614"/>
    <w:rsid w:val="438B6CCD"/>
    <w:rsid w:val="46753D1C"/>
    <w:rsid w:val="486024AF"/>
    <w:rsid w:val="4B245A16"/>
    <w:rsid w:val="4B835FBB"/>
    <w:rsid w:val="4E134968"/>
    <w:rsid w:val="4EDC3BBA"/>
    <w:rsid w:val="4F311C67"/>
    <w:rsid w:val="500E4D9E"/>
    <w:rsid w:val="52BA27BB"/>
    <w:rsid w:val="55995963"/>
    <w:rsid w:val="56130B60"/>
    <w:rsid w:val="56186177"/>
    <w:rsid w:val="58496ABB"/>
    <w:rsid w:val="5C355AB1"/>
    <w:rsid w:val="5CEB62E2"/>
    <w:rsid w:val="5E023994"/>
    <w:rsid w:val="5F1B05E3"/>
    <w:rsid w:val="60640786"/>
    <w:rsid w:val="65AD3F09"/>
    <w:rsid w:val="676575C0"/>
    <w:rsid w:val="67F02AB0"/>
    <w:rsid w:val="68137667"/>
    <w:rsid w:val="69146C72"/>
    <w:rsid w:val="69601429"/>
    <w:rsid w:val="69F22E1E"/>
    <w:rsid w:val="6D960763"/>
    <w:rsid w:val="6ED44ED9"/>
    <w:rsid w:val="70003AAC"/>
    <w:rsid w:val="755E4F4E"/>
    <w:rsid w:val="7B306AEC"/>
    <w:rsid w:val="7DA912DF"/>
    <w:rsid w:val="7DBD122E"/>
    <w:rsid w:val="7EA67F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semiHidden="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7"/>
    <w:basedOn w:val="1"/>
    <w:next w:val="1"/>
    <w:unhideWhenUsed/>
    <w:qFormat/>
    <w:uiPriority w:val="0"/>
    <w:pPr>
      <w:keepNext/>
      <w:keepLines/>
      <w:spacing w:before="240" w:after="64" w:line="320" w:lineRule="auto"/>
      <w:outlineLvl w:val="6"/>
    </w:pPr>
    <w:rPr>
      <w:b/>
      <w:bCs/>
      <w:sz w:val="24"/>
    </w:rPr>
  </w:style>
  <w:style w:type="character" w:default="1" w:styleId="14">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2">
    <w:name w:val="Body Text First Indent"/>
    <w:basedOn w:val="3"/>
    <w:qFormat/>
    <w:uiPriority w:val="0"/>
    <w:pPr>
      <w:tabs>
        <w:tab w:val="left" w:pos="567"/>
      </w:tabs>
      <w:ind w:firstLine="420" w:firstLineChars="100"/>
    </w:pPr>
    <w:rPr>
      <w:kern w:val="0"/>
      <w:sz w:val="32"/>
      <w:szCs w:val="20"/>
    </w:rPr>
  </w:style>
  <w:style w:type="paragraph" w:styleId="3">
    <w:name w:val="Body Text"/>
    <w:basedOn w:val="1"/>
    <w:next w:val="2"/>
    <w:qFormat/>
    <w:uiPriority w:val="0"/>
    <w:pPr>
      <w:tabs>
        <w:tab w:val="left" w:pos="567"/>
      </w:tabs>
      <w:spacing w:before="120" w:line="22" w:lineRule="atLeast"/>
    </w:pPr>
    <w:rPr>
      <w:rFonts w:ascii="宋体" w:hAnsi="宋体"/>
      <w:sz w:val="24"/>
    </w:rPr>
  </w:style>
  <w:style w:type="paragraph" w:styleId="5">
    <w:name w:val="annotation text"/>
    <w:basedOn w:val="1"/>
    <w:link w:val="18"/>
    <w:semiHidden/>
    <w:unhideWhenUsed/>
    <w:qFormat/>
    <w:uiPriority w:val="0"/>
    <w:pPr>
      <w:jc w:val="left"/>
    </w:pPr>
  </w:style>
  <w:style w:type="paragraph" w:styleId="6">
    <w:name w:val="Body Text Indent"/>
    <w:basedOn w:val="1"/>
    <w:unhideWhenUsed/>
    <w:qFormat/>
    <w:uiPriority w:val="99"/>
    <w:pPr>
      <w:widowControl/>
      <w:spacing w:before="100" w:beforeAutospacing="1" w:after="100" w:afterAutospacing="1"/>
      <w:jc w:val="left"/>
    </w:pPr>
    <w:rPr>
      <w:rFonts w:ascii="宋体" w:hAnsi="宋体"/>
      <w:kern w:val="0"/>
      <w:sz w:val="24"/>
    </w:rPr>
  </w:style>
  <w:style w:type="paragraph" w:styleId="7">
    <w:name w:val="Plain Text"/>
    <w:basedOn w:val="1"/>
    <w:next w:val="1"/>
    <w:qFormat/>
    <w:uiPriority w:val="0"/>
    <w:rPr>
      <w:rFonts w:ascii="宋体" w:hAnsi="Courier New"/>
      <w:szCs w:val="20"/>
    </w:rPr>
  </w:style>
  <w:style w:type="paragraph" w:styleId="8">
    <w:name w:val="Body Text Indent 2"/>
    <w:basedOn w:val="1"/>
    <w:qFormat/>
    <w:uiPriority w:val="0"/>
    <w:pPr>
      <w:ind w:firstLine="480" w:firstLineChars="200"/>
    </w:pPr>
    <w:rPr>
      <w:rFonts w:ascii="仿宋_GB2312" w:eastAsia="仿宋_GB2312"/>
      <w:sz w:val="24"/>
    </w:rPr>
  </w:style>
  <w:style w:type="paragraph" w:styleId="9">
    <w:name w:val="Balloon Text"/>
    <w:basedOn w:val="1"/>
    <w:link w:val="20"/>
    <w:qFormat/>
    <w:uiPriority w:val="0"/>
    <w:rPr>
      <w:sz w:val="18"/>
      <w:szCs w:val="18"/>
    </w:rPr>
  </w:style>
  <w:style w:type="paragraph" w:styleId="10">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annotation subject"/>
    <w:basedOn w:val="5"/>
    <w:next w:val="5"/>
    <w:link w:val="19"/>
    <w:semiHidden/>
    <w:unhideWhenUsed/>
    <w:qFormat/>
    <w:uiPriority w:val="0"/>
    <w:rPr>
      <w:b/>
      <w:bCs/>
    </w:rPr>
  </w:style>
  <w:style w:type="character" w:styleId="15">
    <w:name w:val="annotation reference"/>
    <w:basedOn w:val="14"/>
    <w:semiHidden/>
    <w:unhideWhenUsed/>
    <w:qFormat/>
    <w:uiPriority w:val="0"/>
    <w:rPr>
      <w:sz w:val="21"/>
      <w:szCs w:val="21"/>
    </w:rPr>
  </w:style>
  <w:style w:type="paragraph" w:customStyle="1" w:styleId="16">
    <w:name w:val="列出段落1"/>
    <w:basedOn w:val="1"/>
    <w:next w:val="1"/>
    <w:unhideWhenUsed/>
    <w:qFormat/>
    <w:uiPriority w:val="99"/>
    <w:pPr>
      <w:ind w:firstLine="420" w:firstLineChars="200"/>
    </w:pPr>
  </w:style>
  <w:style w:type="paragraph" w:styleId="17">
    <w:name w:val="List Paragraph"/>
    <w:basedOn w:val="1"/>
    <w:qFormat/>
    <w:uiPriority w:val="34"/>
    <w:pPr>
      <w:widowControl/>
      <w:ind w:firstLine="420" w:firstLineChars="200"/>
      <w:jc w:val="left"/>
    </w:pPr>
    <w:rPr>
      <w:kern w:val="0"/>
      <w:sz w:val="24"/>
    </w:rPr>
  </w:style>
  <w:style w:type="character" w:customStyle="1" w:styleId="18">
    <w:name w:val="批注文字 字符"/>
    <w:basedOn w:val="14"/>
    <w:link w:val="5"/>
    <w:semiHidden/>
    <w:qFormat/>
    <w:uiPriority w:val="0"/>
    <w:rPr>
      <w:kern w:val="2"/>
      <w:sz w:val="21"/>
      <w:szCs w:val="24"/>
    </w:rPr>
  </w:style>
  <w:style w:type="character" w:customStyle="1" w:styleId="19">
    <w:name w:val="批注主题 字符"/>
    <w:basedOn w:val="18"/>
    <w:link w:val="12"/>
    <w:semiHidden/>
    <w:qFormat/>
    <w:uiPriority w:val="0"/>
    <w:rPr>
      <w:b/>
      <w:bCs/>
      <w:kern w:val="2"/>
      <w:sz w:val="21"/>
      <w:szCs w:val="24"/>
    </w:rPr>
  </w:style>
  <w:style w:type="character" w:customStyle="1" w:styleId="20">
    <w:name w:val="批注框文本 字符"/>
    <w:basedOn w:val="14"/>
    <w:link w:val="9"/>
    <w:qFormat/>
    <w:uiPriority w:val="0"/>
    <w:rPr>
      <w:kern w:val="2"/>
      <w:sz w:val="18"/>
      <w:szCs w:val="18"/>
    </w:rPr>
  </w:style>
  <w:style w:type="paragraph" w:customStyle="1" w:styleId="21">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22">
    <w:name w:val="Revision"/>
    <w:hidden/>
    <w:semiHidden/>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1009</Words>
  <Characters>5755</Characters>
  <Lines>47</Lines>
  <Paragraphs>13</Paragraphs>
  <TotalTime>1</TotalTime>
  <ScaleCrop>false</ScaleCrop>
  <LinksUpToDate>false</LinksUpToDate>
  <CharactersWithSpaces>6751</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2022-10-31T08:39:00Z</dcterms:created>
  <dc:creator>admin</dc:creator>
  <cp:lastModifiedBy>Administrator</cp:lastModifiedBy>
  <cp:lastPrinted>2022-10-12T02:06:00Z</cp:lastPrinted>
  <dcterms:modified xsi:type="dcterms:W3CDTF">2022-11-03T07:35:16Z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26E909E2CAC0454EB3E013598A7F12AB</vt:lpwstr>
  </property>
</Properties>
</file>