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55959A">
      <w:pPr>
        <w:tabs>
          <w:tab w:val="left" w:pos="3520"/>
          <w:tab w:val="left" w:pos="6580"/>
        </w:tabs>
        <w:spacing w:before="55"/>
        <w:ind w:left="460"/>
        <w:jc w:val="right"/>
        <w:rPr>
          <w:rFonts w:hint="eastAsia" w:ascii="仿宋" w:eastAsia="仿宋"/>
          <w:sz w:val="18"/>
        </w:rPr>
      </w:pPr>
      <w:r>
        <w:rPr>
          <w:rFonts w:hint="eastAsia" w:ascii="仿宋" w:eastAsia="仿宋"/>
          <w:sz w:val="18"/>
        </w:rPr>
        <w:tab/>
      </w:r>
      <w:r>
        <w:rPr>
          <w:rFonts w:hint="eastAsia" w:ascii="仿宋" w:eastAsia="仿宋"/>
          <w:sz w:val="18"/>
        </w:rPr>
        <w:t>青岛理工大学合同</w:t>
      </w:r>
    </w:p>
    <w:p w14:paraId="077E5E84">
      <w:pPr>
        <w:pStyle w:val="4"/>
        <w:rPr>
          <w:rFonts w:ascii="仿宋"/>
        </w:rPr>
      </w:pPr>
    </w:p>
    <w:p w14:paraId="26C0F023">
      <w:pPr>
        <w:pStyle w:val="4"/>
        <w:rPr>
          <w:rFonts w:ascii="仿宋"/>
        </w:rPr>
      </w:pPr>
    </w:p>
    <w:p w14:paraId="6A160041">
      <w:pPr>
        <w:pStyle w:val="4"/>
        <w:rPr>
          <w:rFonts w:ascii="仿宋"/>
        </w:rPr>
      </w:pPr>
    </w:p>
    <w:p w14:paraId="4935C1A4">
      <w:pPr>
        <w:pStyle w:val="4"/>
        <w:rPr>
          <w:rFonts w:ascii="仿宋"/>
        </w:rPr>
      </w:pPr>
    </w:p>
    <w:p w14:paraId="3D3DFDCD">
      <w:pPr>
        <w:spacing w:before="129"/>
        <w:ind w:left="26" w:right="28"/>
        <w:jc w:val="center"/>
        <w:rPr>
          <w:b/>
          <w:sz w:val="84"/>
        </w:rPr>
      </w:pPr>
      <w:r>
        <w:rPr>
          <w:b/>
          <w:sz w:val="84"/>
        </w:rPr>
        <w:t>政府采购合同</w:t>
      </w:r>
    </w:p>
    <w:p w14:paraId="0FA42859">
      <w:pPr>
        <w:pStyle w:val="4"/>
        <w:rPr>
          <w:b/>
          <w:sz w:val="84"/>
        </w:rPr>
      </w:pPr>
    </w:p>
    <w:p w14:paraId="79E82727">
      <w:pPr>
        <w:pStyle w:val="2"/>
        <w:spacing w:before="722" w:line="364" w:lineRule="auto"/>
        <w:ind w:right="948"/>
        <w:rPr>
          <w:rFonts w:hint="eastAsia" w:ascii="宋体" w:hAnsi="宋体" w:cs="宋体"/>
          <w:w w:val="95"/>
          <w:sz w:val="32"/>
          <w:szCs w:val="32"/>
        </w:rPr>
      </w:pPr>
      <w:r>
        <w:rPr>
          <w:rFonts w:hint="eastAsia"/>
          <w:w w:val="95"/>
        </w:rPr>
        <w:t xml:space="preserve">       </w:t>
      </w:r>
      <w:r>
        <w:rPr>
          <w:rFonts w:hint="eastAsia" w:ascii="宋体" w:hAnsi="宋体" w:cs="宋体"/>
          <w:w w:val="95"/>
          <w:sz w:val="32"/>
          <w:szCs w:val="32"/>
        </w:rPr>
        <w:t xml:space="preserve">项目名称: </w:t>
      </w:r>
    </w:p>
    <w:p w14:paraId="243B5F56">
      <w:pPr>
        <w:pStyle w:val="2"/>
        <w:spacing w:before="722" w:line="364" w:lineRule="auto"/>
        <w:ind w:right="948"/>
        <w:rPr>
          <w:rFonts w:hint="eastAsia" w:ascii="宋体" w:hAnsi="宋体" w:cs="宋体"/>
          <w:sz w:val="32"/>
          <w:szCs w:val="32"/>
        </w:rPr>
      </w:pPr>
      <w:r>
        <w:rPr>
          <w:rFonts w:hint="eastAsia" w:ascii="宋体" w:hAnsi="宋体" w:cs="宋体"/>
          <w:w w:val="95"/>
          <w:sz w:val="32"/>
          <w:szCs w:val="32"/>
        </w:rPr>
        <w:t xml:space="preserve">          </w:t>
      </w:r>
      <w:r>
        <w:rPr>
          <w:rFonts w:hint="eastAsia" w:ascii="宋体" w:hAnsi="宋体" w:cs="宋体"/>
          <w:sz w:val="32"/>
          <w:szCs w:val="32"/>
        </w:rPr>
        <w:t>合同编号:</w:t>
      </w:r>
    </w:p>
    <w:p w14:paraId="17504284">
      <w:pPr>
        <w:spacing w:line="409" w:lineRule="exact"/>
        <w:ind w:left="1490"/>
        <w:jc w:val="left"/>
        <w:rPr>
          <w:rFonts w:hint="eastAsia" w:ascii="宋体" w:hAnsi="宋体" w:cs="宋体"/>
          <w:b/>
          <w:sz w:val="32"/>
          <w:szCs w:val="32"/>
        </w:rPr>
      </w:pPr>
      <w:r>
        <w:rPr>
          <w:rFonts w:hint="eastAsia" w:ascii="宋体" w:hAnsi="宋体" w:cs="宋体"/>
          <w:b/>
          <w:sz w:val="32"/>
          <w:szCs w:val="32"/>
        </w:rPr>
        <w:t xml:space="preserve">项目编号: </w:t>
      </w:r>
    </w:p>
    <w:p w14:paraId="79BD882C">
      <w:pPr>
        <w:pStyle w:val="4"/>
        <w:rPr>
          <w:b/>
          <w:sz w:val="32"/>
        </w:rPr>
      </w:pPr>
    </w:p>
    <w:p w14:paraId="5F72F0AA">
      <w:pPr>
        <w:pStyle w:val="4"/>
        <w:rPr>
          <w:b/>
          <w:sz w:val="32"/>
        </w:rPr>
      </w:pPr>
    </w:p>
    <w:p w14:paraId="69443F93">
      <w:pPr>
        <w:pStyle w:val="4"/>
        <w:spacing w:before="1"/>
        <w:rPr>
          <w:b/>
          <w:sz w:val="26"/>
        </w:rPr>
      </w:pPr>
    </w:p>
    <w:p w14:paraId="5E46FAD6">
      <w:pPr>
        <w:tabs>
          <w:tab w:val="left" w:pos="2599"/>
        </w:tabs>
        <w:ind w:left="1636"/>
        <w:jc w:val="left"/>
        <w:rPr>
          <w:b/>
          <w:sz w:val="32"/>
        </w:rPr>
      </w:pPr>
      <w:r>
        <w:rPr>
          <w:b/>
          <w:sz w:val="32"/>
        </w:rPr>
        <w:t>甲</w:t>
      </w:r>
      <w:r>
        <w:rPr>
          <w:b/>
          <w:sz w:val="32"/>
        </w:rPr>
        <w:tab/>
      </w:r>
      <w:r>
        <w:rPr>
          <w:b/>
          <w:sz w:val="32"/>
        </w:rPr>
        <w:t>方:</w:t>
      </w:r>
      <w:r>
        <w:rPr>
          <w:b/>
          <w:spacing w:val="-1"/>
          <w:sz w:val="32"/>
        </w:rPr>
        <w:t xml:space="preserve"> </w:t>
      </w:r>
      <w:r>
        <w:rPr>
          <w:b/>
          <w:sz w:val="32"/>
          <w:u w:val="single"/>
        </w:rPr>
        <w:t>青岛理工大学</w:t>
      </w:r>
    </w:p>
    <w:p w14:paraId="0D58C8E1">
      <w:pPr>
        <w:tabs>
          <w:tab w:val="left" w:pos="988"/>
        </w:tabs>
        <w:spacing w:before="55"/>
        <w:ind w:firstLine="1606" w:firstLineChars="500"/>
        <w:rPr>
          <w:b/>
          <w:sz w:val="32"/>
        </w:rPr>
      </w:pPr>
    </w:p>
    <w:p w14:paraId="3EA9DE9E">
      <w:pPr>
        <w:tabs>
          <w:tab w:val="left" w:pos="988"/>
        </w:tabs>
        <w:spacing w:before="55"/>
        <w:ind w:firstLine="1606" w:firstLineChars="500"/>
        <w:rPr>
          <w:b/>
          <w:sz w:val="32"/>
        </w:rPr>
      </w:pPr>
      <w:r>
        <w:rPr>
          <w:b/>
          <w:sz w:val="32"/>
        </w:rPr>
        <w:t>乙</w:t>
      </w:r>
      <w:r>
        <w:rPr>
          <w:rFonts w:hint="eastAsia"/>
          <w:b/>
          <w:sz w:val="32"/>
        </w:rPr>
        <w:t xml:space="preserve">    </w:t>
      </w:r>
      <w:r>
        <w:rPr>
          <w:b/>
          <w:sz w:val="32"/>
        </w:rPr>
        <w:t>方:</w:t>
      </w:r>
      <w:r>
        <w:rPr>
          <w:rFonts w:hint="eastAsia"/>
          <w:b/>
          <w:sz w:val="32"/>
          <w:u w:val="single"/>
        </w:rPr>
        <w:t xml:space="preserve">             </w:t>
      </w:r>
      <w:r>
        <w:rPr>
          <w:b/>
          <w:spacing w:val="-2"/>
          <w:sz w:val="32"/>
        </w:rPr>
        <w:t xml:space="preserve"> </w:t>
      </w:r>
    </w:p>
    <w:p w14:paraId="159F7919">
      <w:pPr>
        <w:pStyle w:val="4"/>
        <w:spacing w:before="10"/>
        <w:rPr>
          <w:b/>
          <w:sz w:val="21"/>
        </w:rPr>
      </w:pPr>
    </w:p>
    <w:p w14:paraId="48DAAC13">
      <w:pPr>
        <w:spacing w:before="54"/>
        <w:ind w:left="1617" w:right="1269"/>
        <w:rPr>
          <w:b/>
          <w:sz w:val="32"/>
        </w:rPr>
      </w:pPr>
    </w:p>
    <w:p w14:paraId="115CB459">
      <w:pPr>
        <w:spacing w:before="54"/>
        <w:ind w:left="1617" w:right="1269"/>
        <w:rPr>
          <w:b/>
          <w:sz w:val="32"/>
        </w:rPr>
      </w:pPr>
      <w:r>
        <w:rPr>
          <w:b/>
          <w:sz w:val="32"/>
        </w:rPr>
        <w:t>招标代理机构：</w:t>
      </w:r>
      <w:r>
        <w:rPr>
          <w:rFonts w:hint="eastAsia"/>
          <w:b/>
          <w:sz w:val="32"/>
          <w:u w:val="single"/>
        </w:rPr>
        <w:t xml:space="preserve">             </w:t>
      </w:r>
    </w:p>
    <w:p w14:paraId="12BDEA2D">
      <w:pPr>
        <w:pStyle w:val="4"/>
        <w:rPr>
          <w:b/>
        </w:rPr>
      </w:pPr>
    </w:p>
    <w:p w14:paraId="62714589">
      <w:pPr>
        <w:tabs>
          <w:tab w:val="left" w:pos="3520"/>
          <w:tab w:val="left" w:pos="6580"/>
        </w:tabs>
        <w:spacing w:before="55"/>
        <w:ind w:left="460"/>
        <w:jc w:val="right"/>
        <w:rPr>
          <w:rFonts w:hint="eastAsia" w:ascii="仿宋" w:hAnsi="仿宋" w:eastAsia="仿宋" w:cs="仿宋"/>
          <w:sz w:val="18"/>
        </w:rPr>
      </w:pPr>
      <w:r>
        <w:rPr>
          <w:rFonts w:hint="eastAsia" w:ascii="仿宋" w:hAnsi="仿宋" w:eastAsia="仿宋" w:cs="仿宋"/>
          <w:sz w:val="18"/>
        </w:rPr>
        <w:t>青岛理工大学合同</w:t>
      </w:r>
    </w:p>
    <w:p w14:paraId="6C303CD0">
      <w:pPr>
        <w:tabs>
          <w:tab w:val="left" w:pos="3520"/>
          <w:tab w:val="left" w:pos="6580"/>
        </w:tabs>
        <w:spacing w:before="55"/>
        <w:ind w:left="460"/>
        <w:jc w:val="right"/>
        <w:rPr>
          <w:rFonts w:hint="eastAsia" w:ascii="仿宋" w:hAnsi="仿宋" w:eastAsia="仿宋" w:cs="仿宋"/>
          <w:sz w:val="18"/>
        </w:rPr>
      </w:pPr>
    </w:p>
    <w:p w14:paraId="4453E53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355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pacing w:val="-8"/>
          <w:u w:val="none" w:color="auto"/>
          <w:lang w:val="en-US" w:eastAsia="zh-CN"/>
        </w:rPr>
        <w:t xml:space="preserve"> </w:t>
      </w:r>
      <w:r>
        <w:rPr>
          <w:rFonts w:hint="eastAsia" w:ascii="仿宋" w:hAnsi="仿宋" w:eastAsia="仿宋" w:cs="仿宋"/>
          <w:spacing w:val="-8"/>
          <w:sz w:val="24"/>
          <w:szCs w:val="24"/>
          <w:u w:val="none" w:color="auto"/>
          <w:lang w:val="en-US" w:eastAsia="zh-CN"/>
        </w:rPr>
        <w:t xml:space="preserve"> </w:t>
      </w:r>
      <w:r>
        <w:rPr>
          <w:rFonts w:hint="eastAsia" w:ascii="仿宋" w:hAnsi="仿宋" w:eastAsia="仿宋" w:cs="仿宋"/>
          <w:spacing w:val="-8"/>
          <w:sz w:val="24"/>
          <w:szCs w:val="24"/>
          <w:u w:val="single"/>
        </w:rPr>
        <w:t>青岛理工大学</w:t>
      </w:r>
      <w:r>
        <w:rPr>
          <w:rFonts w:hint="eastAsia" w:ascii="仿宋" w:hAnsi="仿宋" w:eastAsia="仿宋" w:cs="仿宋"/>
          <w:sz w:val="24"/>
          <w:szCs w:val="24"/>
          <w:u w:val="single"/>
        </w:rPr>
        <w:t>（</w:t>
      </w:r>
      <w:r>
        <w:rPr>
          <w:rFonts w:hint="eastAsia" w:ascii="仿宋" w:hAnsi="仿宋" w:eastAsia="仿宋" w:cs="仿宋"/>
          <w:sz w:val="24"/>
          <w:szCs w:val="24"/>
        </w:rPr>
        <w:t>甲方</w:t>
      </w:r>
      <w:r>
        <w:rPr>
          <w:rFonts w:hint="eastAsia" w:ascii="仿宋" w:hAnsi="仿宋" w:eastAsia="仿宋" w:cs="仿宋"/>
          <w:spacing w:val="-44"/>
          <w:sz w:val="24"/>
          <w:szCs w:val="24"/>
        </w:rPr>
        <w:t>）</w:t>
      </w:r>
      <w:r>
        <w:rPr>
          <w:rFonts w:hint="eastAsia" w:ascii="仿宋" w:hAnsi="仿宋" w:eastAsia="仿宋" w:cs="仿宋"/>
          <w:sz w:val="24"/>
          <w:szCs w:val="24"/>
        </w:rPr>
        <w:t>所需</w:t>
      </w:r>
      <w:r>
        <w:rPr>
          <w:rFonts w:hint="eastAsia" w:ascii="仿宋" w:hAnsi="仿宋" w:eastAsia="仿宋" w:cs="仿宋"/>
          <w:sz w:val="24"/>
          <w:szCs w:val="24"/>
          <w:u w:val="single" w:color="auto"/>
          <w:lang w:val="en-US" w:eastAsia="zh-CN"/>
        </w:rPr>
        <w:t xml:space="preserve"> （项目名称）</w:t>
      </w:r>
      <w:r>
        <w:rPr>
          <w:rFonts w:hint="eastAsia" w:ascii="仿宋" w:hAnsi="仿宋" w:eastAsia="仿宋" w:cs="仿宋"/>
          <w:sz w:val="24"/>
          <w:szCs w:val="24"/>
          <w:u w:val="single"/>
        </w:rPr>
        <w:t xml:space="preserve"> 采购项目</w:t>
      </w:r>
      <w:r>
        <w:rPr>
          <w:rFonts w:hint="eastAsia" w:ascii="仿宋" w:hAnsi="仿宋" w:eastAsia="仿宋" w:cs="仿宋"/>
          <w:spacing w:val="-8"/>
          <w:sz w:val="24"/>
          <w:szCs w:val="24"/>
        </w:rPr>
        <w:t>经</w:t>
      </w:r>
      <w:r>
        <w:rPr>
          <w:rFonts w:hint="eastAsia" w:ascii="仿宋" w:hAnsi="仿宋" w:eastAsia="仿宋" w:cs="仿宋"/>
          <w:spacing w:val="-8"/>
          <w:sz w:val="24"/>
          <w:szCs w:val="24"/>
          <w:u w:val="single" w:color="auto"/>
        </w:rPr>
        <w:t>（招标代理公司）</w:t>
      </w:r>
      <w:r>
        <w:rPr>
          <w:rFonts w:hint="eastAsia" w:ascii="仿宋" w:hAnsi="仿宋" w:eastAsia="仿宋" w:cs="仿宋"/>
          <w:spacing w:val="3"/>
          <w:sz w:val="24"/>
          <w:szCs w:val="24"/>
        </w:rPr>
        <w:t>在国内以</w:t>
      </w:r>
      <w:r>
        <w:rPr>
          <w:rFonts w:hint="eastAsia" w:ascii="仿宋" w:hAnsi="仿宋" w:eastAsia="仿宋" w:cs="仿宋"/>
          <w:sz w:val="24"/>
          <w:szCs w:val="24"/>
          <w:u w:val="single"/>
        </w:rPr>
        <w:t xml:space="preserve">      </w:t>
      </w:r>
      <w:r>
        <w:rPr>
          <w:rFonts w:hint="eastAsia" w:ascii="仿宋" w:hAnsi="仿宋" w:eastAsia="仿宋" w:cs="仿宋"/>
          <w:spacing w:val="3"/>
          <w:sz w:val="24"/>
          <w:szCs w:val="24"/>
        </w:rPr>
        <w:t>的方式进行采购，项目编号：</w:t>
      </w:r>
      <w:r>
        <w:rPr>
          <w:rFonts w:hint="eastAsia" w:ascii="仿宋" w:hAnsi="仿宋" w:eastAsia="仿宋" w:cs="仿宋"/>
          <w:sz w:val="24"/>
          <w:szCs w:val="24"/>
          <w:u w:val="single"/>
        </w:rPr>
        <w:t xml:space="preserve">       </w:t>
      </w:r>
      <w:r>
        <w:rPr>
          <w:rFonts w:hint="eastAsia" w:ascii="仿宋" w:hAnsi="仿宋" w:eastAsia="仿宋" w:cs="仿宋"/>
          <w:spacing w:val="3"/>
          <w:sz w:val="24"/>
          <w:szCs w:val="24"/>
        </w:rPr>
        <w:t xml:space="preserve">  。经评标委员会确定</w:t>
      </w:r>
      <w:r>
        <w:rPr>
          <w:rFonts w:hint="eastAsia" w:ascii="仿宋" w:hAnsi="仿宋" w:eastAsia="仿宋" w:cs="仿宋"/>
          <w:spacing w:val="1"/>
          <w:sz w:val="24"/>
          <w:szCs w:val="24"/>
          <w:u w:val="single"/>
        </w:rPr>
        <w:t xml:space="preserve">      </w:t>
      </w:r>
      <w:r>
        <w:rPr>
          <w:rFonts w:hint="eastAsia" w:ascii="仿宋" w:hAnsi="仿宋" w:eastAsia="仿宋" w:cs="仿宋"/>
          <w:spacing w:val="-3"/>
          <w:sz w:val="24"/>
          <w:szCs w:val="24"/>
        </w:rPr>
        <w:t>（</w:t>
      </w:r>
      <w:r>
        <w:rPr>
          <w:rFonts w:hint="eastAsia" w:ascii="仿宋" w:hAnsi="仿宋" w:eastAsia="仿宋" w:cs="仿宋"/>
          <w:sz w:val="24"/>
          <w:szCs w:val="24"/>
        </w:rPr>
        <w:t>乙方</w:t>
      </w:r>
      <w:r>
        <w:rPr>
          <w:rFonts w:hint="eastAsia" w:ascii="仿宋" w:hAnsi="仿宋" w:eastAsia="仿宋" w:cs="仿宋"/>
          <w:spacing w:val="-22"/>
          <w:sz w:val="24"/>
          <w:szCs w:val="24"/>
        </w:rPr>
        <w:t>）</w:t>
      </w:r>
      <w:r>
        <w:rPr>
          <w:rFonts w:hint="eastAsia" w:ascii="仿宋" w:hAnsi="仿宋" w:eastAsia="仿宋" w:cs="仿宋"/>
          <w:spacing w:val="-4"/>
          <w:sz w:val="24"/>
          <w:szCs w:val="24"/>
        </w:rPr>
        <w:t>为该项目第</w:t>
      </w:r>
      <w:r>
        <w:rPr>
          <w:rFonts w:hint="eastAsia" w:ascii="仿宋" w:hAnsi="仿宋" w:eastAsia="仿宋" w:cs="仿宋"/>
          <w:spacing w:val="1"/>
          <w:sz w:val="24"/>
          <w:szCs w:val="24"/>
          <w:u w:val="single"/>
        </w:rPr>
        <w:t xml:space="preserve">    </w:t>
      </w:r>
      <w:r>
        <w:rPr>
          <w:rFonts w:hint="eastAsia" w:ascii="仿宋" w:hAnsi="仿宋" w:eastAsia="仿宋" w:cs="仿宋"/>
          <w:spacing w:val="-4"/>
          <w:sz w:val="24"/>
          <w:szCs w:val="24"/>
        </w:rPr>
        <w:t>包</w:t>
      </w:r>
      <w:r>
        <w:rPr>
          <w:rFonts w:hint="eastAsia" w:ascii="仿宋" w:hAnsi="仿宋" w:eastAsia="仿宋" w:cs="仿宋"/>
          <w:sz w:val="24"/>
          <w:szCs w:val="24"/>
        </w:rPr>
        <w:t>（</w:t>
      </w:r>
      <w:r>
        <w:rPr>
          <w:rFonts w:hint="eastAsia" w:ascii="仿宋" w:hAnsi="仿宋" w:eastAsia="仿宋" w:cs="仿宋"/>
          <w:spacing w:val="1"/>
          <w:sz w:val="24"/>
          <w:szCs w:val="24"/>
          <w:u w:val="single"/>
        </w:rPr>
        <w:t xml:space="preserve">    </w:t>
      </w:r>
      <w:r>
        <w:rPr>
          <w:rFonts w:hint="eastAsia" w:ascii="仿宋" w:hAnsi="仿宋" w:eastAsia="仿宋" w:cs="仿宋"/>
          <w:sz w:val="24"/>
          <w:szCs w:val="24"/>
        </w:rPr>
        <w:t>项目</w:t>
      </w:r>
      <w:r>
        <w:rPr>
          <w:rFonts w:hint="eastAsia" w:ascii="仿宋" w:hAnsi="仿宋" w:eastAsia="仿宋" w:cs="仿宋"/>
          <w:spacing w:val="-22"/>
          <w:sz w:val="24"/>
          <w:szCs w:val="24"/>
        </w:rPr>
        <w:t>）</w:t>
      </w:r>
      <w:r>
        <w:rPr>
          <w:rFonts w:hint="eastAsia" w:ascii="仿宋" w:hAnsi="仿宋" w:eastAsia="仿宋" w:cs="仿宋"/>
          <w:spacing w:val="-15"/>
          <w:sz w:val="24"/>
          <w:szCs w:val="24"/>
        </w:rPr>
        <w:t>的</w:t>
      </w:r>
      <w:r>
        <w:rPr>
          <w:rFonts w:hint="eastAsia" w:ascii="仿宋" w:hAnsi="仿宋" w:eastAsia="仿宋" w:cs="仿宋"/>
          <w:spacing w:val="-10"/>
          <w:sz w:val="24"/>
          <w:szCs w:val="24"/>
        </w:rPr>
        <w:t>成交人。甲、乙双方根据《中华人民共和国政府采购法》、《中华人民共和国民法典》和其他法律、法规的规定，并按照公正、平等、自愿、诚实信用</w:t>
      </w:r>
      <w:r>
        <w:rPr>
          <w:rFonts w:hint="eastAsia" w:ascii="仿宋" w:hAnsi="仿宋" w:eastAsia="仿宋" w:cs="仿宋"/>
          <w:sz w:val="24"/>
          <w:szCs w:val="24"/>
        </w:rPr>
        <w:t>的原则，同意按照以下条款和条件，签署本合同。</w:t>
      </w:r>
    </w:p>
    <w:p w14:paraId="313AF1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37" w:right="4092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bookmarkStart w:id="0" w:name="一、本合同由合同文本和下列文件组成"/>
      <w:bookmarkEnd w:id="0"/>
      <w:r>
        <w:rPr>
          <w:rFonts w:hint="eastAsia" w:ascii="仿宋" w:hAnsi="仿宋" w:eastAsia="仿宋" w:cs="仿宋"/>
          <w:b/>
          <w:sz w:val="24"/>
          <w:szCs w:val="24"/>
        </w:rPr>
        <w:t>一、本合同由合同文本和下列文件组成</w:t>
      </w:r>
      <w:bookmarkStart w:id="1" w:name="1、公开招标文件"/>
      <w:bookmarkEnd w:id="1"/>
      <w:r>
        <w:rPr>
          <w:rFonts w:hint="eastAsia" w:ascii="仿宋" w:hAnsi="仿宋" w:eastAsia="仿宋" w:cs="仿宋"/>
          <w:sz w:val="24"/>
          <w:szCs w:val="24"/>
        </w:rPr>
        <w:t>1、竞争性磋商采购文件</w:t>
      </w:r>
    </w:p>
    <w:p w14:paraId="6233B16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37"/>
        <w:textAlignment w:val="auto"/>
        <w:rPr>
          <w:rFonts w:hint="eastAsia" w:ascii="仿宋" w:hAnsi="仿宋" w:eastAsia="仿宋" w:cs="仿宋"/>
          <w:sz w:val="24"/>
          <w:szCs w:val="24"/>
        </w:rPr>
      </w:pPr>
      <w:bookmarkStart w:id="2" w:name="2、中标人投标文件"/>
      <w:bookmarkEnd w:id="2"/>
      <w:r>
        <w:rPr>
          <w:rFonts w:hint="eastAsia" w:ascii="仿宋" w:hAnsi="仿宋" w:eastAsia="仿宋" w:cs="仿宋"/>
          <w:sz w:val="24"/>
          <w:szCs w:val="24"/>
        </w:rPr>
        <w:t>2、成交人响应文件</w:t>
      </w:r>
    </w:p>
    <w:p w14:paraId="4E76FFF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37"/>
        <w:textAlignment w:val="auto"/>
        <w:rPr>
          <w:rFonts w:hint="eastAsia" w:ascii="仿宋" w:hAnsi="仿宋" w:eastAsia="仿宋" w:cs="仿宋"/>
          <w:sz w:val="24"/>
          <w:szCs w:val="24"/>
        </w:rPr>
      </w:pPr>
      <w:bookmarkStart w:id="3" w:name="3、中标通知书"/>
      <w:bookmarkEnd w:id="3"/>
      <w:r>
        <w:rPr>
          <w:rFonts w:hint="eastAsia" w:ascii="仿宋" w:hAnsi="仿宋" w:eastAsia="仿宋" w:cs="仿宋"/>
          <w:sz w:val="24"/>
          <w:szCs w:val="24"/>
        </w:rPr>
        <w:t>3、成交通知书</w:t>
      </w:r>
    </w:p>
    <w:p w14:paraId="35A7C7E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37"/>
        <w:textAlignment w:val="auto"/>
        <w:rPr>
          <w:rFonts w:hint="eastAsia" w:ascii="仿宋" w:hAnsi="仿宋" w:eastAsia="仿宋" w:cs="仿宋"/>
          <w:sz w:val="24"/>
          <w:szCs w:val="24"/>
        </w:rPr>
      </w:pPr>
      <w:bookmarkStart w:id="4" w:name="4、中标人在评标过程中做出的书面澄清或承诺"/>
      <w:bookmarkEnd w:id="4"/>
      <w:r>
        <w:rPr>
          <w:rFonts w:hint="eastAsia" w:ascii="仿宋" w:hAnsi="仿宋" w:eastAsia="仿宋" w:cs="仿宋"/>
          <w:sz w:val="24"/>
          <w:szCs w:val="24"/>
        </w:rPr>
        <w:t>4、成交人在评标过程中做出的书面澄清或承诺</w:t>
      </w:r>
    </w:p>
    <w:p w14:paraId="5F0668BF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37"/>
        <w:textAlignment w:val="auto"/>
        <w:rPr>
          <w:rFonts w:hint="eastAsia" w:ascii="仿宋" w:hAnsi="仿宋" w:eastAsia="仿宋" w:cs="仿宋"/>
          <w:sz w:val="24"/>
          <w:szCs w:val="24"/>
        </w:rPr>
      </w:pPr>
      <w:bookmarkStart w:id="5" w:name="5、本合同附件"/>
      <w:bookmarkEnd w:id="5"/>
      <w:r>
        <w:rPr>
          <w:rFonts w:hint="eastAsia" w:ascii="仿宋" w:hAnsi="仿宋" w:eastAsia="仿宋" w:cs="仿宋"/>
          <w:sz w:val="24"/>
          <w:szCs w:val="24"/>
        </w:rPr>
        <w:t>5、本合同附件</w:t>
      </w:r>
    </w:p>
    <w:p w14:paraId="0DB3E91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textAlignment w:val="auto"/>
        <w:rPr>
          <w:rFonts w:hint="eastAsia" w:ascii="仿宋" w:hAnsi="仿宋" w:eastAsia="仿宋" w:cs="仿宋"/>
          <w:sz w:val="24"/>
          <w:szCs w:val="24"/>
        </w:rPr>
      </w:pPr>
      <w:bookmarkStart w:id="6" w:name="二、货物的名称、数量、单价、金额（详细清单见下表）"/>
      <w:bookmarkEnd w:id="6"/>
      <w:r>
        <w:rPr>
          <w:rFonts w:hint="eastAsia" w:ascii="仿宋" w:hAnsi="仿宋" w:eastAsia="仿宋" w:cs="仿宋"/>
          <w:sz w:val="24"/>
          <w:szCs w:val="24"/>
        </w:rPr>
        <w:t>二、货物</w:t>
      </w:r>
      <w:r>
        <w:rPr>
          <w:rFonts w:hint="eastAsia" w:ascii="仿宋" w:hAnsi="仿宋" w:eastAsia="仿宋" w:cs="仿宋"/>
          <w:b/>
          <w:bCs w:val="0"/>
          <w:sz w:val="24"/>
          <w:szCs w:val="24"/>
          <w:lang w:val="en-US" w:eastAsia="zh-CN" w:bidi="zh-CN"/>
        </w:rPr>
        <w:t>清单及合同</w:t>
      </w:r>
      <w:r>
        <w:rPr>
          <w:rFonts w:hint="eastAsia" w:ascii="仿宋" w:hAnsi="仿宋" w:eastAsia="仿宋" w:cs="仿宋"/>
          <w:sz w:val="24"/>
          <w:szCs w:val="24"/>
        </w:rPr>
        <w:t>金额</w:t>
      </w:r>
    </w:p>
    <w:tbl>
      <w:tblPr>
        <w:tblStyle w:val="5"/>
        <w:tblW w:w="9004" w:type="dxa"/>
        <w:tblInd w:w="13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4"/>
        <w:gridCol w:w="2151"/>
        <w:gridCol w:w="859"/>
        <w:gridCol w:w="846"/>
        <w:gridCol w:w="1679"/>
        <w:gridCol w:w="832"/>
        <w:gridCol w:w="532"/>
        <w:gridCol w:w="491"/>
        <w:gridCol w:w="900"/>
      </w:tblGrid>
      <w:tr w14:paraId="064D14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8" w:hRule="atLeast"/>
        </w:trPr>
        <w:tc>
          <w:tcPr>
            <w:tcW w:w="714" w:type="dxa"/>
            <w:noWrap w:val="0"/>
            <w:vAlign w:val="center"/>
          </w:tcPr>
          <w:p w14:paraId="548BA86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90" w:right="83"/>
              <w:jc w:val="center"/>
              <w:textAlignment w:val="auto"/>
              <w:rPr>
                <w:rFonts w:hint="eastAsia" w:ascii="仿宋" w:hAnsi="仿宋" w:eastAsia="仿宋" w:cs="仿宋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2151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5A408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90" w:right="83"/>
              <w:jc w:val="center"/>
              <w:textAlignment w:val="auto"/>
              <w:rPr>
                <w:rFonts w:hint="default" w:ascii="仿宋" w:hAnsi="仿宋" w:eastAsia="仿宋" w:cs="仿宋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  <w:lang w:val="en-US" w:eastAsia="zh-CN"/>
              </w:rPr>
              <w:t>货物名称</w:t>
            </w:r>
          </w:p>
        </w:tc>
        <w:tc>
          <w:tcPr>
            <w:tcW w:w="859" w:type="dxa"/>
            <w:tcBorders>
              <w:right w:val="single" w:color="auto" w:sz="4" w:space="0"/>
            </w:tcBorders>
            <w:noWrap w:val="0"/>
            <w:vAlign w:val="center"/>
          </w:tcPr>
          <w:p w14:paraId="2F7753B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90" w:right="83"/>
              <w:jc w:val="center"/>
              <w:textAlignment w:val="auto"/>
              <w:rPr>
                <w:rFonts w:hint="eastAsia" w:ascii="仿宋" w:hAnsi="仿宋" w:eastAsia="仿宋" w:cs="仿宋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  <w:lang w:val="en-US" w:eastAsia="zh-CN"/>
              </w:rPr>
              <w:t>品牌</w:t>
            </w:r>
          </w:p>
        </w:tc>
        <w:tc>
          <w:tcPr>
            <w:tcW w:w="846" w:type="dxa"/>
            <w:tcBorders>
              <w:left w:val="single" w:color="auto" w:sz="4" w:space="0"/>
            </w:tcBorders>
            <w:noWrap w:val="0"/>
            <w:vAlign w:val="center"/>
          </w:tcPr>
          <w:p w14:paraId="4FA4B93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90" w:right="83"/>
              <w:jc w:val="center"/>
              <w:textAlignment w:val="auto"/>
              <w:rPr>
                <w:rFonts w:hint="eastAsia" w:ascii="仿宋" w:hAnsi="仿宋" w:eastAsia="仿宋" w:cs="仿宋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  <w:lang w:val="en-US" w:eastAsia="zh-CN"/>
              </w:rPr>
              <w:t>型号</w:t>
            </w:r>
          </w:p>
        </w:tc>
        <w:tc>
          <w:tcPr>
            <w:tcW w:w="1679" w:type="dxa"/>
            <w:shd w:val="clear"/>
            <w:noWrap w:val="0"/>
            <w:vAlign w:val="center"/>
          </w:tcPr>
          <w:p w14:paraId="252CD91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91" w:right="85"/>
              <w:jc w:val="center"/>
              <w:textAlignment w:val="auto"/>
              <w:rPr>
                <w:rFonts w:hint="eastAsia" w:ascii="仿宋" w:hAnsi="仿宋" w:eastAsia="仿宋" w:cs="仿宋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  <w:lang w:val="en-US" w:eastAsia="zh-CN"/>
              </w:rPr>
              <w:t>供应商</w:t>
            </w:r>
          </w:p>
          <w:p w14:paraId="3D7F75C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91" w:right="85"/>
              <w:jc w:val="center"/>
              <w:textAlignment w:val="auto"/>
              <w:rPr>
                <w:rFonts w:hint="default" w:ascii="仿宋" w:hAnsi="仿宋" w:eastAsia="仿宋" w:cs="仿宋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  <w:lang w:val="en-US" w:eastAsia="zh-CN"/>
              </w:rPr>
              <w:t>及产地</w:t>
            </w:r>
          </w:p>
        </w:tc>
        <w:tc>
          <w:tcPr>
            <w:tcW w:w="832" w:type="dxa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BA4A8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91" w:leftChars="0" w:right="85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4"/>
                <w:szCs w:val="24"/>
                <w:lang w:val="zh-CN" w:eastAsia="zh-CN" w:bidi="zh-CN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单价（元）</w:t>
            </w:r>
          </w:p>
        </w:tc>
        <w:tc>
          <w:tcPr>
            <w:tcW w:w="532" w:type="dxa"/>
            <w:tcBorders>
              <w:left w:val="single" w:color="auto" w:sz="4" w:space="0"/>
            </w:tcBorders>
            <w:shd w:val="clear" w:color="auto" w:fill="auto"/>
            <w:noWrap w:val="0"/>
            <w:vAlign w:val="center"/>
          </w:tcPr>
          <w:p w14:paraId="16C7C078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91" w:leftChars="0" w:right="85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491" w:type="dxa"/>
            <w:shd w:val="clear"/>
            <w:noWrap w:val="0"/>
            <w:vAlign w:val="center"/>
          </w:tcPr>
          <w:p w14:paraId="5FFCF29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91" w:right="85"/>
              <w:jc w:val="center"/>
              <w:textAlignment w:val="auto"/>
              <w:rPr>
                <w:rFonts w:hint="eastAsia" w:ascii="仿宋" w:hAnsi="仿宋" w:eastAsia="仿宋" w:cs="仿宋"/>
                <w:b/>
                <w:sz w:val="24"/>
                <w:szCs w:val="24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900" w:type="dxa"/>
            <w:shd w:val="clear"/>
            <w:noWrap w:val="0"/>
            <w:vAlign w:val="center"/>
          </w:tcPr>
          <w:p w14:paraId="509F089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91" w:right="85"/>
              <w:jc w:val="center"/>
              <w:textAlignment w:val="auto"/>
              <w:rPr>
                <w:rFonts w:hint="eastAsia" w:ascii="仿宋" w:hAnsi="仿宋" w:eastAsia="仿宋" w:cs="仿宋"/>
                <w:b/>
                <w:sz w:val="24"/>
                <w:szCs w:val="24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合计(元)</w:t>
            </w:r>
          </w:p>
        </w:tc>
      </w:tr>
      <w:tr w14:paraId="771D83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714" w:type="dxa"/>
            <w:noWrap w:val="0"/>
            <w:vAlign w:val="top"/>
          </w:tcPr>
          <w:p w14:paraId="2199856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19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</w:t>
            </w:r>
          </w:p>
        </w:tc>
        <w:tc>
          <w:tcPr>
            <w:tcW w:w="2151" w:type="dxa"/>
            <w:noWrap w:val="0"/>
            <w:vAlign w:val="top"/>
          </w:tcPr>
          <w:p w14:paraId="0F336FF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108" w:right="95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59" w:type="dxa"/>
            <w:tcBorders>
              <w:right w:val="single" w:color="auto" w:sz="4" w:space="0"/>
            </w:tcBorders>
            <w:shd w:val="clear"/>
            <w:noWrap w:val="0"/>
            <w:vAlign w:val="top"/>
          </w:tcPr>
          <w:p w14:paraId="16CD1CC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7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846" w:type="dxa"/>
            <w:tcBorders>
              <w:left w:val="single" w:color="auto" w:sz="4" w:space="0"/>
            </w:tcBorders>
            <w:noWrap w:val="0"/>
            <w:vAlign w:val="top"/>
          </w:tcPr>
          <w:p w14:paraId="6A53FBD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7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679" w:type="dxa"/>
            <w:noWrap w:val="0"/>
            <w:vAlign w:val="top"/>
          </w:tcPr>
          <w:p w14:paraId="01139E0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1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32" w:type="dxa"/>
            <w:tcBorders>
              <w:right w:val="single" w:color="auto" w:sz="4" w:space="0"/>
            </w:tcBorders>
            <w:noWrap w:val="0"/>
            <w:vAlign w:val="top"/>
          </w:tcPr>
          <w:p w14:paraId="3551910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108" w:right="10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32" w:type="dxa"/>
            <w:tcBorders>
              <w:left w:val="single" w:color="auto" w:sz="4" w:space="0"/>
            </w:tcBorders>
            <w:noWrap w:val="0"/>
            <w:vAlign w:val="top"/>
          </w:tcPr>
          <w:p w14:paraId="66F98F6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108" w:right="10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491" w:type="dxa"/>
            <w:noWrap w:val="0"/>
            <w:vAlign w:val="top"/>
          </w:tcPr>
          <w:p w14:paraId="005EF9F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146" w:right="14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00" w:type="dxa"/>
            <w:noWrap w:val="0"/>
            <w:vAlign w:val="top"/>
          </w:tcPr>
          <w:p w14:paraId="6E04603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3671FE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1" w:hRule="atLeast"/>
        </w:trPr>
        <w:tc>
          <w:tcPr>
            <w:tcW w:w="714" w:type="dxa"/>
            <w:noWrap w:val="0"/>
            <w:vAlign w:val="top"/>
          </w:tcPr>
          <w:p w14:paraId="01E6B6F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19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</w:t>
            </w:r>
          </w:p>
        </w:tc>
        <w:tc>
          <w:tcPr>
            <w:tcW w:w="2151" w:type="dxa"/>
            <w:noWrap w:val="0"/>
            <w:vAlign w:val="top"/>
          </w:tcPr>
          <w:p w14:paraId="39BDC81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108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59" w:type="dxa"/>
            <w:tcBorders>
              <w:right w:val="single" w:color="auto" w:sz="4" w:space="0"/>
            </w:tcBorders>
            <w:shd w:val="clear"/>
            <w:noWrap w:val="0"/>
            <w:vAlign w:val="top"/>
          </w:tcPr>
          <w:p w14:paraId="54840BA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7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46" w:type="dxa"/>
            <w:tcBorders>
              <w:left w:val="single" w:color="auto" w:sz="4" w:space="0"/>
            </w:tcBorders>
            <w:noWrap w:val="0"/>
            <w:vAlign w:val="top"/>
          </w:tcPr>
          <w:p w14:paraId="2F10B2D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7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679" w:type="dxa"/>
            <w:noWrap w:val="0"/>
            <w:vAlign w:val="top"/>
          </w:tcPr>
          <w:p w14:paraId="3EA8481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1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32" w:type="dxa"/>
            <w:tcBorders>
              <w:right w:val="single" w:color="auto" w:sz="4" w:space="0"/>
            </w:tcBorders>
            <w:noWrap w:val="0"/>
            <w:vAlign w:val="top"/>
          </w:tcPr>
          <w:p w14:paraId="683819D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108" w:right="10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32" w:type="dxa"/>
            <w:tcBorders>
              <w:left w:val="single" w:color="auto" w:sz="4" w:space="0"/>
            </w:tcBorders>
            <w:noWrap w:val="0"/>
            <w:vAlign w:val="top"/>
          </w:tcPr>
          <w:p w14:paraId="267C4EA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108" w:right="10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491" w:type="dxa"/>
            <w:noWrap w:val="0"/>
            <w:vAlign w:val="top"/>
          </w:tcPr>
          <w:p w14:paraId="50B6BBF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146" w:right="14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00" w:type="dxa"/>
            <w:noWrap w:val="0"/>
            <w:vAlign w:val="top"/>
          </w:tcPr>
          <w:p w14:paraId="22F9F81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17C0F9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1" w:hRule="atLeast"/>
        </w:trPr>
        <w:tc>
          <w:tcPr>
            <w:tcW w:w="714" w:type="dxa"/>
            <w:noWrap w:val="0"/>
            <w:vAlign w:val="top"/>
          </w:tcPr>
          <w:p w14:paraId="69EC4CF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19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</w:t>
            </w:r>
          </w:p>
        </w:tc>
        <w:tc>
          <w:tcPr>
            <w:tcW w:w="2151" w:type="dxa"/>
            <w:noWrap w:val="0"/>
            <w:vAlign w:val="top"/>
          </w:tcPr>
          <w:p w14:paraId="16373B9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108" w:right="95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59" w:type="dxa"/>
            <w:tcBorders>
              <w:right w:val="single" w:color="auto" w:sz="4" w:space="0"/>
            </w:tcBorders>
            <w:shd w:val="clear"/>
            <w:noWrap w:val="0"/>
            <w:vAlign w:val="top"/>
          </w:tcPr>
          <w:p w14:paraId="41BC5E0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7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46" w:type="dxa"/>
            <w:tcBorders>
              <w:left w:val="single" w:color="auto" w:sz="4" w:space="0"/>
            </w:tcBorders>
            <w:noWrap w:val="0"/>
            <w:vAlign w:val="top"/>
          </w:tcPr>
          <w:p w14:paraId="6EB60AC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7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679" w:type="dxa"/>
            <w:noWrap w:val="0"/>
            <w:vAlign w:val="top"/>
          </w:tcPr>
          <w:p w14:paraId="3543CAB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1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32" w:type="dxa"/>
            <w:tcBorders>
              <w:right w:val="single" w:color="auto" w:sz="4" w:space="0"/>
            </w:tcBorders>
            <w:noWrap w:val="0"/>
            <w:vAlign w:val="top"/>
          </w:tcPr>
          <w:p w14:paraId="0A6B905E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108" w:right="10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32" w:type="dxa"/>
            <w:tcBorders>
              <w:left w:val="single" w:color="auto" w:sz="4" w:space="0"/>
            </w:tcBorders>
            <w:noWrap w:val="0"/>
            <w:vAlign w:val="top"/>
          </w:tcPr>
          <w:p w14:paraId="6235E6D8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108" w:right="10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491" w:type="dxa"/>
            <w:noWrap w:val="0"/>
            <w:vAlign w:val="top"/>
          </w:tcPr>
          <w:p w14:paraId="6F6743A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146" w:right="14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00" w:type="dxa"/>
            <w:noWrap w:val="0"/>
            <w:vAlign w:val="top"/>
          </w:tcPr>
          <w:p w14:paraId="62048D3E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3A9FD7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1" w:hRule="atLeast"/>
        </w:trPr>
        <w:tc>
          <w:tcPr>
            <w:tcW w:w="714" w:type="dxa"/>
            <w:noWrap w:val="0"/>
            <w:vAlign w:val="top"/>
          </w:tcPr>
          <w:p w14:paraId="08E9772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19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4</w:t>
            </w:r>
          </w:p>
        </w:tc>
        <w:tc>
          <w:tcPr>
            <w:tcW w:w="2151" w:type="dxa"/>
            <w:noWrap w:val="0"/>
            <w:vAlign w:val="top"/>
          </w:tcPr>
          <w:p w14:paraId="2174EC7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108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59" w:type="dxa"/>
            <w:tcBorders>
              <w:right w:val="single" w:color="auto" w:sz="4" w:space="0"/>
            </w:tcBorders>
            <w:shd w:val="clear"/>
            <w:noWrap w:val="0"/>
            <w:vAlign w:val="top"/>
          </w:tcPr>
          <w:p w14:paraId="7BD0E26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7" w:left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zh-CN" w:eastAsia="zh-CN" w:bidi="zh-CN"/>
              </w:rPr>
            </w:pPr>
          </w:p>
        </w:tc>
        <w:tc>
          <w:tcPr>
            <w:tcW w:w="846" w:type="dxa"/>
            <w:tcBorders>
              <w:left w:val="single" w:color="auto" w:sz="4" w:space="0"/>
            </w:tcBorders>
            <w:noWrap w:val="0"/>
            <w:vAlign w:val="top"/>
          </w:tcPr>
          <w:p w14:paraId="6B96DE3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7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679" w:type="dxa"/>
            <w:noWrap w:val="0"/>
            <w:vAlign w:val="top"/>
          </w:tcPr>
          <w:p w14:paraId="7BD64E3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1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32" w:type="dxa"/>
            <w:tcBorders>
              <w:right w:val="single" w:color="auto" w:sz="4" w:space="0"/>
            </w:tcBorders>
            <w:noWrap w:val="0"/>
            <w:vAlign w:val="top"/>
          </w:tcPr>
          <w:p w14:paraId="75EBDC4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108" w:right="10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32" w:type="dxa"/>
            <w:tcBorders>
              <w:left w:val="single" w:color="auto" w:sz="4" w:space="0"/>
            </w:tcBorders>
            <w:noWrap w:val="0"/>
            <w:vAlign w:val="top"/>
          </w:tcPr>
          <w:p w14:paraId="65EA5B9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108" w:right="10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491" w:type="dxa"/>
            <w:noWrap w:val="0"/>
            <w:vAlign w:val="top"/>
          </w:tcPr>
          <w:p w14:paraId="77BF8F7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146" w:right="14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00" w:type="dxa"/>
            <w:noWrap w:val="0"/>
            <w:vAlign w:val="top"/>
          </w:tcPr>
          <w:p w14:paraId="087EA1E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6AFD92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9004" w:type="dxa"/>
            <w:gridSpan w:val="9"/>
            <w:noWrap w:val="0"/>
            <w:vAlign w:val="center"/>
          </w:tcPr>
          <w:p w14:paraId="430E5C4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108" w:right="10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合同价款人民币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大写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￥：</w:t>
            </w:r>
          </w:p>
        </w:tc>
      </w:tr>
    </w:tbl>
    <w:p w14:paraId="54909D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right="0" w:firstLine="964" w:firstLineChars="400"/>
        <w:jc w:val="left"/>
        <w:textAlignment w:val="auto"/>
        <w:rPr>
          <w:rFonts w:hint="default" w:ascii="仿宋" w:hAnsi="仿宋" w:eastAsia="仿宋" w:cs="仿宋"/>
          <w:b/>
          <w:sz w:val="24"/>
          <w:szCs w:val="24"/>
          <w:lang w:val="en-US" w:eastAsia="zh-CN"/>
        </w:rPr>
      </w:pPr>
      <w:bookmarkStart w:id="7" w:name="三、货款支付"/>
      <w:bookmarkEnd w:id="7"/>
      <w:r>
        <w:rPr>
          <w:rFonts w:hint="eastAsia" w:ascii="仿宋" w:hAnsi="仿宋" w:eastAsia="仿宋" w:cs="仿宋"/>
          <w:b/>
          <w:sz w:val="24"/>
          <w:szCs w:val="24"/>
          <w:lang w:val="en-US" w:eastAsia="zh-CN"/>
        </w:rPr>
        <w:t>技术参数见附件</w:t>
      </w:r>
    </w:p>
    <w:p w14:paraId="3A1C49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37" w:right="6626"/>
        <w:jc w:val="left"/>
        <w:textAlignment w:val="auto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三、货款支付</w:t>
      </w:r>
      <w:bookmarkStart w:id="8" w:name="1、付款方式："/>
      <w:bookmarkEnd w:id="8"/>
      <w:r>
        <w:rPr>
          <w:rFonts w:hint="eastAsia" w:ascii="仿宋" w:hAnsi="仿宋" w:eastAsia="仿宋" w:cs="仿宋"/>
          <w:b/>
          <w:sz w:val="24"/>
          <w:szCs w:val="24"/>
        </w:rPr>
        <w:t xml:space="preserve"> </w:t>
      </w:r>
    </w:p>
    <w:p w14:paraId="4D8B6E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37" w:right="6626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</w:t>
      </w:r>
      <w:r>
        <w:rPr>
          <w:rFonts w:hint="eastAsia" w:ascii="仿宋" w:hAnsi="仿宋" w:eastAsia="仿宋" w:cs="仿宋"/>
          <w:spacing w:val="-3"/>
          <w:sz w:val="24"/>
          <w:szCs w:val="24"/>
        </w:rPr>
        <w:t>、付款方式：</w:t>
      </w:r>
    </w:p>
    <w:p w14:paraId="19FD25F4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357" w:right="355" w:firstLine="48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pacing w:val="-7"/>
          <w:sz w:val="24"/>
          <w:szCs w:val="24"/>
        </w:rPr>
        <w:t>货物全部送达并完成验收合格后，甲方支付乙方全部合同价款，乙方须同时</w:t>
      </w:r>
      <w:r>
        <w:rPr>
          <w:rFonts w:hint="eastAsia" w:ascii="仿宋" w:hAnsi="仿宋" w:eastAsia="仿宋" w:cs="仿宋"/>
          <w:sz w:val="24"/>
          <w:szCs w:val="24"/>
        </w:rPr>
        <w:t>提供</w:t>
      </w:r>
    </w:p>
    <w:p w14:paraId="2ED25AA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355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同等金额的增值税专用发票。</w:t>
      </w:r>
    </w:p>
    <w:p w14:paraId="03F7BF7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37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2、乙方收款信息：</w:t>
      </w:r>
    </w:p>
    <w:p w14:paraId="495533A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37" w:right="3866"/>
        <w:textAlignment w:val="auto"/>
        <w:rPr>
          <w:rFonts w:hint="eastAsia"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开户单位：</w:t>
      </w:r>
    </w:p>
    <w:p w14:paraId="4646662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37" w:right="3866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开户银行：</w:t>
      </w:r>
    </w:p>
    <w:p w14:paraId="2AAFBBC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37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账号：</w:t>
      </w:r>
    </w:p>
    <w:p w14:paraId="5ACB8A77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textAlignment w:val="auto"/>
        <w:rPr>
          <w:rFonts w:hint="eastAsia" w:ascii="仿宋" w:hAnsi="仿宋" w:eastAsia="仿宋" w:cs="仿宋"/>
          <w:sz w:val="24"/>
          <w:szCs w:val="24"/>
        </w:rPr>
      </w:pPr>
      <w:bookmarkStart w:id="9" w:name="四、交货"/>
      <w:bookmarkEnd w:id="9"/>
      <w:r>
        <w:rPr>
          <w:rFonts w:hint="eastAsia" w:ascii="仿宋" w:hAnsi="仿宋" w:eastAsia="仿宋" w:cs="仿宋"/>
          <w:sz w:val="24"/>
          <w:szCs w:val="24"/>
        </w:rPr>
        <w:t>四、交货</w:t>
      </w:r>
    </w:p>
    <w:p w14:paraId="714DD491">
      <w:pPr>
        <w:tabs>
          <w:tab w:val="left" w:pos="3520"/>
          <w:tab w:val="left" w:pos="6580"/>
        </w:tabs>
        <w:spacing w:before="55"/>
        <w:ind w:left="460"/>
        <w:jc w:val="right"/>
        <w:rPr>
          <w:rFonts w:hint="eastAsia" w:ascii="仿宋" w:hAnsi="仿宋" w:eastAsia="仿宋" w:cs="仿宋"/>
          <w:sz w:val="18"/>
        </w:rPr>
      </w:pPr>
      <w:bookmarkStart w:id="10" w:name="1、交货时间：自合同签订之日起5工作日内交货/交付。"/>
      <w:bookmarkEnd w:id="10"/>
      <w:r>
        <w:rPr>
          <w:rFonts w:hint="eastAsia" w:ascii="仿宋" w:hAnsi="仿宋" w:eastAsia="仿宋" w:cs="仿宋"/>
          <w:sz w:val="18"/>
        </w:rPr>
        <w:t>青岛理工大学合同</w:t>
      </w:r>
    </w:p>
    <w:p w14:paraId="1B14D18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37"/>
        <w:textAlignment w:val="auto"/>
        <w:rPr>
          <w:rFonts w:hint="eastAsia" w:ascii="仿宋" w:hAnsi="仿宋" w:eastAsia="仿宋" w:cs="仿宋"/>
          <w:sz w:val="24"/>
          <w:szCs w:val="24"/>
        </w:rPr>
      </w:pPr>
    </w:p>
    <w:p w14:paraId="6AC12DF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37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1、交货时间：自合同签订之日起</w:t>
      </w:r>
      <w:r>
        <w:rPr>
          <w:rFonts w:hint="eastAsia" w:ascii="仿宋" w:hAnsi="仿宋" w:eastAsia="仿宋" w:cs="仿宋"/>
          <w:spacing w:val="1"/>
          <w:sz w:val="24"/>
          <w:szCs w:val="24"/>
          <w:u w:val="single"/>
        </w:rPr>
        <w:t xml:space="preserve">    </w:t>
      </w:r>
      <w:r>
        <w:rPr>
          <w:rFonts w:hint="eastAsia" w:ascii="仿宋" w:hAnsi="仿宋" w:eastAsia="仿宋" w:cs="仿宋"/>
          <w:sz w:val="24"/>
          <w:szCs w:val="24"/>
        </w:rPr>
        <w:t>工作日内交货/交付。</w:t>
      </w:r>
    </w:p>
    <w:p w14:paraId="7AC9A02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37" w:right="3506"/>
        <w:textAlignment w:val="auto"/>
        <w:rPr>
          <w:rFonts w:hint="eastAsia" w:ascii="仿宋" w:hAnsi="仿宋" w:eastAsia="仿宋" w:cs="仿宋"/>
          <w:sz w:val="24"/>
          <w:szCs w:val="24"/>
        </w:rPr>
      </w:pPr>
      <w:bookmarkStart w:id="11" w:name="2、交货地点：甲方所在地甲方指定的地点。"/>
      <w:bookmarkEnd w:id="11"/>
      <w:r>
        <w:rPr>
          <w:rFonts w:hint="eastAsia" w:ascii="仿宋" w:hAnsi="仿宋" w:eastAsia="仿宋" w:cs="仿宋"/>
          <w:sz w:val="24"/>
          <w:szCs w:val="24"/>
        </w:rPr>
        <w:t>2、交货地点：甲方所在地甲方指定的地点。</w:t>
      </w:r>
      <w:bookmarkStart w:id="12" w:name="五、质量"/>
      <w:bookmarkEnd w:id="12"/>
    </w:p>
    <w:p w14:paraId="0BBC8BB0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五、质量</w:t>
      </w:r>
    </w:p>
    <w:p w14:paraId="7981C8D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37"/>
        <w:textAlignment w:val="auto"/>
        <w:rPr>
          <w:rFonts w:hint="eastAsia" w:ascii="仿宋" w:hAnsi="仿宋" w:eastAsia="仿宋" w:cs="仿宋"/>
          <w:sz w:val="24"/>
          <w:szCs w:val="24"/>
        </w:rPr>
      </w:pPr>
      <w:bookmarkStart w:id="13" w:name="质保期：自产品验收合格之日起质保3年。"/>
      <w:bookmarkEnd w:id="13"/>
      <w:r>
        <w:rPr>
          <w:rFonts w:hint="eastAsia" w:ascii="仿宋" w:hAnsi="仿宋" w:eastAsia="仿宋" w:cs="仿宋"/>
          <w:sz w:val="24"/>
          <w:szCs w:val="24"/>
        </w:rPr>
        <w:t>质保期：自产品验收合格之日起质保</w:t>
      </w:r>
      <w:r>
        <w:rPr>
          <w:rFonts w:hint="eastAsia" w:ascii="仿宋" w:hAnsi="仿宋" w:eastAsia="仿宋" w:cs="仿宋"/>
          <w:sz w:val="24"/>
          <w:szCs w:val="24"/>
          <w:u w:val="single"/>
        </w:rPr>
        <w:t xml:space="preserve">  </w:t>
      </w:r>
      <w:r>
        <w:rPr>
          <w:rFonts w:hint="eastAsia" w:ascii="仿宋" w:hAnsi="仿宋" w:eastAsia="仿宋" w:cs="仿宋"/>
          <w:sz w:val="24"/>
          <w:szCs w:val="24"/>
        </w:rPr>
        <w:t>年。</w:t>
      </w:r>
    </w:p>
    <w:p w14:paraId="3B9FC11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357" w:right="355" w:firstLine="480"/>
        <w:textAlignment w:val="auto"/>
        <w:rPr>
          <w:rFonts w:hint="eastAsia" w:ascii="仿宋" w:hAnsi="仿宋" w:eastAsia="仿宋" w:cs="仿宋"/>
          <w:sz w:val="24"/>
          <w:szCs w:val="24"/>
        </w:rPr>
      </w:pPr>
      <w:bookmarkStart w:id="14" w:name="产品的质量应符合公开招标文件、投标文件及乙方在评标过程中做出的书面澄清及承诺。未"/>
      <w:bookmarkEnd w:id="14"/>
      <w:r>
        <w:rPr>
          <w:rFonts w:hint="eastAsia" w:ascii="仿宋" w:hAnsi="仿宋" w:eastAsia="仿宋" w:cs="仿宋"/>
          <w:spacing w:val="-7"/>
          <w:sz w:val="24"/>
          <w:szCs w:val="24"/>
        </w:rPr>
        <w:t>产品的质量应符合</w:t>
      </w:r>
      <w:r>
        <w:rPr>
          <w:rFonts w:hint="eastAsia" w:ascii="仿宋" w:hAnsi="仿宋" w:eastAsia="仿宋" w:cs="仿宋"/>
          <w:spacing w:val="-7"/>
          <w:sz w:val="24"/>
          <w:szCs w:val="24"/>
          <w:lang w:eastAsia="zh-CN"/>
        </w:rPr>
        <w:t>采购</w:t>
      </w:r>
      <w:r>
        <w:rPr>
          <w:rFonts w:hint="eastAsia" w:ascii="仿宋" w:hAnsi="仿宋" w:eastAsia="仿宋" w:cs="仿宋"/>
          <w:spacing w:val="-7"/>
          <w:sz w:val="24"/>
          <w:szCs w:val="24"/>
        </w:rPr>
        <w:t>文件、</w:t>
      </w:r>
      <w:r>
        <w:rPr>
          <w:rFonts w:hint="eastAsia" w:ascii="仿宋" w:hAnsi="仿宋" w:eastAsia="仿宋" w:cs="仿宋"/>
          <w:spacing w:val="-7"/>
          <w:sz w:val="24"/>
          <w:szCs w:val="24"/>
          <w:lang w:eastAsia="zh-CN"/>
        </w:rPr>
        <w:t>响应</w:t>
      </w:r>
      <w:r>
        <w:rPr>
          <w:rFonts w:hint="eastAsia" w:ascii="仿宋" w:hAnsi="仿宋" w:eastAsia="仿宋" w:cs="仿宋"/>
          <w:spacing w:val="-7"/>
          <w:sz w:val="24"/>
          <w:szCs w:val="24"/>
        </w:rPr>
        <w:t>文件及乙方在评标过程中做出的书面</w:t>
      </w:r>
      <w:r>
        <w:rPr>
          <w:rFonts w:hint="eastAsia" w:ascii="仿宋" w:hAnsi="仿宋" w:eastAsia="仿宋" w:cs="仿宋"/>
          <w:spacing w:val="-12"/>
          <w:sz w:val="24"/>
          <w:szCs w:val="24"/>
        </w:rPr>
        <w:t>澄清及承诺。未加工前，应通知校方前往生产厂家检查产品材料是否符合标书要</w:t>
      </w:r>
      <w:r>
        <w:rPr>
          <w:rFonts w:hint="eastAsia" w:ascii="仿宋" w:hAnsi="仿宋" w:eastAsia="仿宋" w:cs="仿宋"/>
          <w:sz w:val="24"/>
          <w:szCs w:val="24"/>
        </w:rPr>
        <w:t>求的各项指标。具体配置见附件一。</w:t>
      </w:r>
    </w:p>
    <w:p w14:paraId="502A09C6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textAlignment w:val="auto"/>
        <w:rPr>
          <w:rFonts w:hint="eastAsia" w:ascii="仿宋" w:hAnsi="仿宋" w:eastAsia="仿宋" w:cs="仿宋"/>
          <w:sz w:val="24"/>
          <w:szCs w:val="24"/>
        </w:rPr>
      </w:pPr>
      <w:bookmarkStart w:id="15" w:name="六、包装"/>
      <w:bookmarkEnd w:id="15"/>
      <w:r>
        <w:rPr>
          <w:rFonts w:hint="eastAsia" w:ascii="仿宋" w:hAnsi="仿宋" w:eastAsia="仿宋" w:cs="仿宋"/>
          <w:sz w:val="24"/>
          <w:szCs w:val="24"/>
        </w:rPr>
        <w:t>六、包装</w:t>
      </w:r>
    </w:p>
    <w:p w14:paraId="23CB36AC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37"/>
        <w:textAlignment w:val="auto"/>
        <w:rPr>
          <w:rFonts w:hint="eastAsia" w:ascii="仿宋" w:hAnsi="仿宋" w:eastAsia="仿宋" w:cs="仿宋"/>
          <w:sz w:val="24"/>
          <w:szCs w:val="24"/>
        </w:rPr>
      </w:pPr>
      <w:bookmarkStart w:id="16" w:name="按照产品的包装应按照国家或业务主管部门的技术规定执行，国家或业务主管部门无技术规"/>
      <w:bookmarkEnd w:id="16"/>
      <w:r>
        <w:rPr>
          <w:rFonts w:hint="eastAsia" w:ascii="仿宋" w:hAnsi="仿宋" w:eastAsia="仿宋" w:cs="仿宋"/>
          <w:sz w:val="24"/>
          <w:szCs w:val="24"/>
        </w:rPr>
        <w:t>按照产品的包装应按照国家或业务主管部门的技术规定执行，国家或业务主</w:t>
      </w:r>
    </w:p>
    <w:p w14:paraId="3DC6ADA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37" w:right="235" w:hanging="480"/>
        <w:textAlignment w:val="auto"/>
        <w:rPr>
          <w:rFonts w:hint="eastAsia" w:ascii="仿宋" w:hAnsi="仿宋" w:eastAsia="仿宋" w:cs="仿宋"/>
          <w:spacing w:val="-15"/>
          <w:sz w:val="24"/>
          <w:szCs w:val="24"/>
        </w:rPr>
      </w:pPr>
      <w:r>
        <w:rPr>
          <w:rFonts w:hint="eastAsia" w:ascii="仿宋" w:hAnsi="仿宋" w:eastAsia="仿宋" w:cs="仿宋"/>
          <w:spacing w:val="-15"/>
          <w:sz w:val="24"/>
          <w:szCs w:val="24"/>
        </w:rPr>
        <w:t>管部门无技术规定的，应当按双方约定采取足以保护产品安全、完好的包装方式。</w:t>
      </w:r>
      <w:bookmarkStart w:id="17" w:name="七、运输要求"/>
      <w:bookmarkEnd w:id="17"/>
    </w:p>
    <w:p w14:paraId="43F44DF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七、运输要求</w:t>
      </w:r>
    </w:p>
    <w:p w14:paraId="471CD1D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37"/>
        <w:textAlignment w:val="auto"/>
        <w:rPr>
          <w:rFonts w:hint="eastAsia" w:ascii="仿宋" w:hAnsi="仿宋" w:eastAsia="仿宋" w:cs="仿宋"/>
          <w:sz w:val="24"/>
          <w:szCs w:val="24"/>
        </w:rPr>
      </w:pPr>
      <w:bookmarkStart w:id="18" w:name="1、运输方式及线路：按甲方要求。                        "/>
      <w:bookmarkEnd w:id="18"/>
      <w:r>
        <w:rPr>
          <w:rFonts w:hint="eastAsia" w:ascii="仿宋" w:hAnsi="仿宋" w:eastAsia="仿宋" w:cs="仿宋"/>
          <w:sz w:val="24"/>
          <w:szCs w:val="24"/>
        </w:rPr>
        <w:t>1、运输方式及线路：按甲方要求。</w:t>
      </w:r>
    </w:p>
    <w:p w14:paraId="55B765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37" w:right="4706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bookmarkStart w:id="19" w:name="2、运输及相关费用由乙方承担。"/>
      <w:bookmarkEnd w:id="19"/>
      <w:r>
        <w:rPr>
          <w:rFonts w:hint="eastAsia" w:ascii="仿宋" w:hAnsi="仿宋" w:eastAsia="仿宋" w:cs="仿宋"/>
          <w:sz w:val="24"/>
          <w:szCs w:val="24"/>
        </w:rPr>
        <w:t>2、运输及相关费用由乙方承担。</w:t>
      </w:r>
      <w:bookmarkStart w:id="20" w:name="八、知识产权"/>
      <w:bookmarkEnd w:id="20"/>
    </w:p>
    <w:p w14:paraId="353949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37" w:right="4706"/>
        <w:jc w:val="left"/>
        <w:textAlignment w:val="auto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八、知识产权</w:t>
      </w:r>
    </w:p>
    <w:p w14:paraId="6C0E0CF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357" w:right="355" w:firstLine="480"/>
        <w:textAlignment w:val="auto"/>
        <w:rPr>
          <w:rFonts w:hint="eastAsia" w:ascii="仿宋" w:hAnsi="仿宋" w:eastAsia="仿宋" w:cs="仿宋"/>
          <w:sz w:val="24"/>
          <w:szCs w:val="24"/>
        </w:rPr>
      </w:pPr>
      <w:bookmarkStart w:id="21" w:name="1.乙方应保证甲方在中国境内使用产品或产品的任何一部分时，免受第三方提出的侵犯其"/>
      <w:bookmarkEnd w:id="21"/>
      <w:r>
        <w:rPr>
          <w:rFonts w:hint="eastAsia" w:ascii="仿宋" w:hAnsi="仿宋" w:eastAsia="仿宋" w:cs="仿宋"/>
          <w:sz w:val="24"/>
          <w:szCs w:val="24"/>
        </w:rPr>
        <w:t>1.</w:t>
      </w:r>
      <w:r>
        <w:rPr>
          <w:rFonts w:hint="eastAsia" w:ascii="仿宋" w:hAnsi="仿宋" w:eastAsia="仿宋" w:cs="仿宋"/>
          <w:spacing w:val="-5"/>
          <w:sz w:val="24"/>
          <w:szCs w:val="24"/>
        </w:rPr>
        <w:t>乙方应保证甲方在中国境内使用产品或产品的任何一部分时，免受第三方</w:t>
      </w:r>
      <w:r>
        <w:rPr>
          <w:rFonts w:hint="eastAsia" w:ascii="仿宋" w:hAnsi="仿宋" w:eastAsia="仿宋" w:cs="仿宋"/>
          <w:sz w:val="24"/>
          <w:szCs w:val="24"/>
        </w:rPr>
        <w:t>提出的侵犯其知识产权的诉讼。</w:t>
      </w:r>
    </w:p>
    <w:p w14:paraId="1313AB81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textAlignment w:val="auto"/>
        <w:rPr>
          <w:rFonts w:hint="eastAsia" w:ascii="仿宋" w:hAnsi="仿宋" w:eastAsia="仿宋" w:cs="仿宋"/>
          <w:sz w:val="24"/>
          <w:szCs w:val="24"/>
        </w:rPr>
      </w:pPr>
      <w:bookmarkStart w:id="22" w:name="九、验收"/>
      <w:bookmarkEnd w:id="22"/>
      <w:r>
        <w:rPr>
          <w:rFonts w:hint="eastAsia" w:ascii="仿宋" w:hAnsi="仿宋" w:eastAsia="仿宋" w:cs="仿宋"/>
          <w:sz w:val="24"/>
          <w:szCs w:val="24"/>
        </w:rPr>
        <w:t>九、验收</w:t>
      </w:r>
    </w:p>
    <w:p w14:paraId="20719201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357" w:right="266" w:firstLine="480"/>
        <w:textAlignment w:val="auto"/>
        <w:rPr>
          <w:rFonts w:hint="eastAsia" w:ascii="仿宋" w:hAnsi="仿宋" w:eastAsia="仿宋" w:cs="仿宋"/>
          <w:spacing w:val="-9"/>
          <w:sz w:val="24"/>
          <w:szCs w:val="24"/>
        </w:rPr>
      </w:pPr>
      <w:bookmarkStart w:id="23" w:name="1、货物运抵现场后，乙方应在7天内派工程技术人员到达现场，甲方将对货物数量、质量"/>
      <w:bookmarkEnd w:id="23"/>
      <w:r>
        <w:rPr>
          <w:rFonts w:hint="eastAsia" w:ascii="仿宋" w:hAnsi="仿宋" w:eastAsia="仿宋" w:cs="仿宋"/>
          <w:sz w:val="24"/>
          <w:szCs w:val="24"/>
        </w:rPr>
        <w:t>1</w:t>
      </w:r>
      <w:r>
        <w:rPr>
          <w:rFonts w:hint="eastAsia" w:ascii="仿宋" w:hAnsi="仿宋" w:eastAsia="仿宋" w:cs="仿宋"/>
          <w:spacing w:val="-4"/>
          <w:sz w:val="24"/>
          <w:szCs w:val="24"/>
        </w:rPr>
        <w:t xml:space="preserve">、货物运抵现场后，乙方应在 </w:t>
      </w:r>
      <w:r>
        <w:rPr>
          <w:rFonts w:hint="eastAsia" w:ascii="仿宋" w:hAnsi="仿宋" w:eastAsia="仿宋" w:cs="仿宋"/>
          <w:sz w:val="24"/>
          <w:szCs w:val="24"/>
        </w:rPr>
        <w:t>7</w:t>
      </w:r>
      <w:r>
        <w:rPr>
          <w:rFonts w:hint="eastAsia" w:ascii="仿宋" w:hAnsi="仿宋" w:eastAsia="仿宋" w:cs="仿宋"/>
          <w:spacing w:val="-8"/>
          <w:sz w:val="24"/>
          <w:szCs w:val="24"/>
        </w:rPr>
        <w:t xml:space="preserve"> 天内派工程技术人员到达现场，甲方将对</w:t>
      </w:r>
      <w:r>
        <w:rPr>
          <w:rFonts w:hint="eastAsia" w:ascii="仿宋" w:hAnsi="仿宋" w:eastAsia="仿宋" w:cs="仿宋"/>
          <w:spacing w:val="-9"/>
          <w:sz w:val="24"/>
          <w:szCs w:val="24"/>
        </w:rPr>
        <w:t>货物数量、质量、规格</w:t>
      </w:r>
    </w:p>
    <w:p w14:paraId="55B3F29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357" w:right="266" w:firstLine="48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pacing w:val="-9"/>
          <w:sz w:val="24"/>
          <w:szCs w:val="24"/>
        </w:rPr>
        <w:t>等进行检验。如发现货物和规格或者两者都与招标文件、</w:t>
      </w:r>
      <w:r>
        <w:rPr>
          <w:rFonts w:hint="eastAsia" w:ascii="仿宋" w:hAnsi="仿宋" w:eastAsia="仿宋" w:cs="仿宋"/>
          <w:spacing w:val="-10"/>
          <w:sz w:val="24"/>
          <w:szCs w:val="24"/>
        </w:rPr>
        <w:t>投标文件、合同不符，甲方有权限根据检验结果要求乙方立即更换或者提出索赔要求。</w:t>
      </w:r>
    </w:p>
    <w:p w14:paraId="270D851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357" w:right="355" w:firstLine="480"/>
        <w:textAlignment w:val="auto"/>
        <w:rPr>
          <w:rFonts w:hint="eastAsia" w:ascii="仿宋" w:hAnsi="仿宋" w:eastAsia="仿宋" w:cs="仿宋"/>
          <w:sz w:val="24"/>
          <w:szCs w:val="24"/>
        </w:rPr>
      </w:pPr>
      <w:bookmarkStart w:id="24" w:name="2、货物由乙方进行安装、调试，并承担因此发生的一切费用。完毕后，甲方应对货物的数"/>
      <w:bookmarkEnd w:id="24"/>
      <w:r>
        <w:rPr>
          <w:rFonts w:hint="eastAsia" w:ascii="仿宋" w:hAnsi="仿宋" w:eastAsia="仿宋" w:cs="仿宋"/>
          <w:sz w:val="24"/>
          <w:szCs w:val="24"/>
        </w:rPr>
        <w:t>2</w:t>
      </w:r>
      <w:r>
        <w:rPr>
          <w:rFonts w:hint="eastAsia" w:ascii="仿宋" w:hAnsi="仿宋" w:eastAsia="仿宋" w:cs="仿宋"/>
          <w:spacing w:val="-1"/>
          <w:sz w:val="24"/>
          <w:szCs w:val="24"/>
        </w:rPr>
        <w:t>、货物由乙方进行安装、调试，并承担因此发生的一切费用。完毕后，甲</w:t>
      </w:r>
      <w:r>
        <w:rPr>
          <w:rFonts w:hint="eastAsia" w:ascii="仿宋" w:hAnsi="仿宋" w:eastAsia="仿宋" w:cs="仿宋"/>
          <w:spacing w:val="-9"/>
          <w:sz w:val="24"/>
          <w:szCs w:val="24"/>
        </w:rPr>
        <w:t>方应对货物的数量、质量、规格、性能等进行详细而全面的检验。乙方应向甲方</w:t>
      </w:r>
      <w:r>
        <w:rPr>
          <w:rFonts w:hint="eastAsia" w:ascii="仿宋" w:hAnsi="仿宋" w:eastAsia="仿宋" w:cs="仿宋"/>
          <w:spacing w:val="-7"/>
          <w:sz w:val="24"/>
          <w:szCs w:val="24"/>
        </w:rPr>
        <w:t xml:space="preserve">提供详细的验收标准和验收手册。安装完毕 </w:t>
      </w:r>
      <w:r>
        <w:rPr>
          <w:rFonts w:hint="eastAsia" w:ascii="仿宋" w:hAnsi="仿宋" w:eastAsia="仿宋" w:cs="仿宋"/>
          <w:sz w:val="24"/>
          <w:szCs w:val="24"/>
        </w:rPr>
        <w:t>7</w:t>
      </w:r>
      <w:r>
        <w:rPr>
          <w:rFonts w:hint="eastAsia" w:ascii="仿宋" w:hAnsi="仿宋" w:eastAsia="仿宋" w:cs="仿宋"/>
          <w:spacing w:val="-12"/>
          <w:sz w:val="24"/>
          <w:szCs w:val="24"/>
        </w:rPr>
        <w:t xml:space="preserve"> 日后，证明货物以及安装质量无任</w:t>
      </w:r>
      <w:r>
        <w:rPr>
          <w:rFonts w:hint="eastAsia" w:ascii="仿宋" w:hAnsi="仿宋" w:eastAsia="仿宋" w:cs="仿宋"/>
          <w:sz w:val="24"/>
          <w:szCs w:val="24"/>
        </w:rPr>
        <w:t>何问题，由甲方组成的验收小组签署验收报告，作为付款凭据之一；</w:t>
      </w:r>
    </w:p>
    <w:p w14:paraId="718ADDF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37"/>
        <w:textAlignment w:val="auto"/>
        <w:rPr>
          <w:rFonts w:hint="eastAsia" w:ascii="仿宋" w:hAnsi="仿宋" w:eastAsia="仿宋" w:cs="仿宋"/>
          <w:sz w:val="24"/>
          <w:szCs w:val="24"/>
        </w:rPr>
      </w:pPr>
      <w:bookmarkStart w:id="25" w:name="3、对安装有特殊要求的设备，乙方应在合同签订后5天内以书面形式向甲方提出安装场地"/>
      <w:bookmarkEnd w:id="25"/>
      <w:r>
        <w:rPr>
          <w:rFonts w:hint="eastAsia" w:ascii="仿宋" w:hAnsi="仿宋" w:eastAsia="仿宋" w:cs="仿宋"/>
          <w:sz w:val="24"/>
          <w:szCs w:val="24"/>
        </w:rPr>
        <w:t>3、对安装有特殊要求的设备，乙方应在合同签订后 5 天内以书面形式向甲</w:t>
      </w:r>
    </w:p>
    <w:p w14:paraId="1DDDBFB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37" w:right="2906" w:hanging="48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方提出安装场地环境要求，甲方负责安装场地的准备。</w:t>
      </w:r>
      <w:bookmarkStart w:id="26" w:name="十、售后服务"/>
      <w:bookmarkEnd w:id="26"/>
    </w:p>
    <w:p w14:paraId="63D31A2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37" w:right="2906" w:hanging="480"/>
        <w:textAlignment w:val="auto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bidi="zh-CN"/>
        </w:rPr>
        <w:t xml:space="preserve">    </w:t>
      </w:r>
      <w:r>
        <w:rPr>
          <w:rFonts w:hint="eastAsia" w:ascii="仿宋" w:hAnsi="仿宋" w:eastAsia="仿宋" w:cs="仿宋"/>
          <w:b/>
          <w:bCs/>
          <w:sz w:val="24"/>
          <w:szCs w:val="24"/>
          <w:lang w:val="zh-CN" w:bidi="zh-CN"/>
        </w:rPr>
        <w:t>十、售后服务</w:t>
      </w:r>
    </w:p>
    <w:p w14:paraId="03BBA640">
      <w:pPr>
        <w:tabs>
          <w:tab w:val="left" w:pos="3520"/>
          <w:tab w:val="left" w:pos="6580"/>
        </w:tabs>
        <w:spacing w:before="55"/>
        <w:ind w:left="460"/>
        <w:jc w:val="right"/>
        <w:rPr>
          <w:rFonts w:hint="eastAsia" w:ascii="仿宋" w:hAnsi="仿宋" w:eastAsia="仿宋" w:cs="仿宋"/>
          <w:sz w:val="18"/>
        </w:rPr>
      </w:pPr>
      <w:r>
        <w:rPr>
          <w:rFonts w:hint="eastAsia" w:ascii="仿宋" w:hAnsi="仿宋" w:eastAsia="仿宋" w:cs="仿宋"/>
          <w:sz w:val="18"/>
        </w:rPr>
        <w:t>青岛理工大学合同</w:t>
      </w:r>
    </w:p>
    <w:p w14:paraId="7C748348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357" w:right="355" w:firstLine="480"/>
        <w:textAlignment w:val="auto"/>
        <w:rPr>
          <w:rFonts w:hint="eastAsia" w:ascii="仿宋" w:hAnsi="仿宋" w:eastAsia="仿宋" w:cs="仿宋"/>
          <w:sz w:val="24"/>
          <w:szCs w:val="24"/>
        </w:rPr>
      </w:pPr>
    </w:p>
    <w:p w14:paraId="6F31E17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357" w:right="355" w:firstLine="48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</w:t>
      </w:r>
      <w:r>
        <w:rPr>
          <w:rFonts w:hint="eastAsia" w:ascii="仿宋" w:hAnsi="仿宋" w:eastAsia="仿宋" w:cs="仿宋"/>
          <w:spacing w:val="-1"/>
          <w:sz w:val="24"/>
          <w:szCs w:val="24"/>
        </w:rPr>
        <w:t>、服务标准：提供必要的免费培训，直至使用相关人员掌握设备、系统软件的运用。提供7*24小时的技术支持和服务，质量故障时12小时内现场响应</w:t>
      </w:r>
      <w:r>
        <w:rPr>
          <w:rFonts w:hint="eastAsia" w:ascii="仿宋" w:hAnsi="仿宋" w:eastAsia="仿宋" w:cs="仿宋"/>
          <w:spacing w:val="-8"/>
          <w:sz w:val="24"/>
          <w:szCs w:val="24"/>
        </w:rPr>
        <w:t>。</w:t>
      </w:r>
    </w:p>
    <w:p w14:paraId="15A2707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357" w:right="355" w:firstLine="48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2、甲方如有大型、紧急的项目需要测试，提前一个星期通知乙方，乙方可以安排人员提前协助甲方单位进行试验前期工作。</w:t>
      </w:r>
    </w:p>
    <w:p w14:paraId="6EF0EF8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357" w:right="355" w:firstLine="48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</w:t>
      </w:r>
      <w:r>
        <w:rPr>
          <w:rFonts w:hint="eastAsia" w:ascii="仿宋" w:hAnsi="仿宋" w:eastAsia="仿宋" w:cs="仿宋"/>
          <w:spacing w:val="-1"/>
          <w:sz w:val="24"/>
          <w:szCs w:val="24"/>
        </w:rPr>
        <w:t>、为保证产品可靠性以及可用性，乙方每三个月安排一次巡检，对产品的</w:t>
      </w:r>
      <w:r>
        <w:rPr>
          <w:rFonts w:hint="eastAsia" w:ascii="仿宋" w:hAnsi="仿宋" w:eastAsia="仿宋" w:cs="仿宋"/>
          <w:spacing w:val="-8"/>
          <w:sz w:val="24"/>
          <w:szCs w:val="24"/>
        </w:rPr>
        <w:t>基本问题进行排查，对产品进行基本的维护保养，现场解决问题，提高产品的可</w:t>
      </w:r>
      <w:r>
        <w:rPr>
          <w:rFonts w:hint="eastAsia" w:ascii="仿宋" w:hAnsi="仿宋" w:eastAsia="仿宋" w:cs="仿宋"/>
          <w:sz w:val="24"/>
          <w:szCs w:val="24"/>
        </w:rPr>
        <w:t>用性。</w:t>
      </w:r>
    </w:p>
    <w:p w14:paraId="67E0BE95">
      <w:pPr>
        <w:keepNext w:val="0"/>
        <w:keepLines w:val="0"/>
        <w:pageBreakBefore w:val="0"/>
        <w:widowControl w:val="0"/>
        <w:tabs>
          <w:tab w:val="left" w:pos="3520"/>
          <w:tab w:val="left" w:pos="65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60" w:firstLine="480" w:firstLineChars="200"/>
        <w:jc w:val="center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4、乙方设立定期回访制度，定期回访，进行满意度调查，了解设备的基本使</w:t>
      </w:r>
    </w:p>
    <w:p w14:paraId="660420CD">
      <w:pPr>
        <w:keepNext w:val="0"/>
        <w:keepLines w:val="0"/>
        <w:pageBreakBefore w:val="0"/>
        <w:widowControl w:val="0"/>
        <w:tabs>
          <w:tab w:val="left" w:pos="3520"/>
          <w:tab w:val="left" w:pos="65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24"/>
          <w:szCs w:val="24"/>
        </w:rPr>
        <w:t>用情况以及甲方的满意程度。</w:t>
      </w:r>
    </w:p>
    <w:p w14:paraId="104E0F3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textAlignment w:val="auto"/>
        <w:rPr>
          <w:rFonts w:hint="eastAsia" w:ascii="仿宋" w:hAnsi="仿宋" w:eastAsia="仿宋" w:cs="仿宋"/>
          <w:sz w:val="24"/>
          <w:szCs w:val="24"/>
        </w:rPr>
      </w:pPr>
      <w:bookmarkStart w:id="27" w:name="十一、合同生效"/>
      <w:bookmarkEnd w:id="27"/>
      <w:r>
        <w:rPr>
          <w:rFonts w:hint="eastAsia" w:ascii="仿宋" w:hAnsi="仿宋" w:eastAsia="仿宋" w:cs="仿宋"/>
          <w:sz w:val="24"/>
          <w:szCs w:val="24"/>
        </w:rPr>
        <w:t>十一、合同生效</w:t>
      </w:r>
    </w:p>
    <w:p w14:paraId="512EF0A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357" w:right="355" w:firstLine="480"/>
        <w:textAlignment w:val="auto"/>
        <w:rPr>
          <w:rFonts w:hint="eastAsia" w:ascii="仿宋" w:hAnsi="仿宋" w:eastAsia="仿宋" w:cs="仿宋"/>
          <w:sz w:val="24"/>
          <w:szCs w:val="24"/>
        </w:rPr>
      </w:pPr>
      <w:bookmarkStart w:id="28" w:name="本合同为附条件生效合同，除甲乙双方盖章，还应满足以下两个条件时合同生效："/>
      <w:bookmarkEnd w:id="28"/>
      <w:r>
        <w:rPr>
          <w:rFonts w:hint="eastAsia" w:ascii="仿宋" w:hAnsi="仿宋" w:eastAsia="仿宋" w:cs="仿宋"/>
          <w:spacing w:val="-7"/>
          <w:sz w:val="24"/>
          <w:szCs w:val="24"/>
        </w:rPr>
        <w:t>本合同为附条件生效合同，除甲乙双方盖章，还应满足以下两个条件时合同</w:t>
      </w:r>
      <w:r>
        <w:rPr>
          <w:rFonts w:hint="eastAsia" w:ascii="仿宋" w:hAnsi="仿宋" w:eastAsia="仿宋" w:cs="仿宋"/>
          <w:sz w:val="24"/>
          <w:szCs w:val="24"/>
        </w:rPr>
        <w:t>生效：</w:t>
      </w:r>
    </w:p>
    <w:p w14:paraId="6D093AB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37"/>
        <w:textAlignment w:val="auto"/>
        <w:rPr>
          <w:rFonts w:hint="eastAsia" w:ascii="仿宋" w:hAnsi="仿宋" w:eastAsia="仿宋" w:cs="仿宋"/>
          <w:sz w:val="24"/>
          <w:szCs w:val="24"/>
        </w:rPr>
      </w:pPr>
      <w:bookmarkStart w:id="29" w:name="1、乙方应提交中标服务费及相关费用。"/>
      <w:bookmarkEnd w:id="29"/>
      <w:r>
        <w:rPr>
          <w:rFonts w:hint="eastAsia" w:ascii="仿宋" w:hAnsi="仿宋" w:eastAsia="仿宋" w:cs="仿宋"/>
          <w:sz w:val="24"/>
          <w:szCs w:val="24"/>
        </w:rPr>
        <w:t>1、乙方应提交中标服务费及相关费用。</w:t>
      </w:r>
    </w:p>
    <w:p w14:paraId="35B3F38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357" w:right="355" w:firstLine="480"/>
        <w:textAlignment w:val="auto"/>
        <w:rPr>
          <w:rFonts w:hint="eastAsia" w:ascii="仿宋" w:hAnsi="仿宋" w:eastAsia="仿宋" w:cs="仿宋"/>
          <w:spacing w:val="-7"/>
          <w:sz w:val="24"/>
          <w:szCs w:val="24"/>
        </w:rPr>
      </w:pPr>
      <w:bookmarkStart w:id="30" w:name="2、本合同须经海逸恒安项目管理有限公司审查合格。"/>
      <w:bookmarkEnd w:id="30"/>
      <w:r>
        <w:rPr>
          <w:rFonts w:hint="eastAsia" w:ascii="仿宋" w:hAnsi="仿宋" w:eastAsia="仿宋" w:cs="仿宋"/>
          <w:spacing w:val="-7"/>
          <w:sz w:val="24"/>
          <w:szCs w:val="24"/>
        </w:rPr>
        <w:t>2、本合同须经</w:t>
      </w:r>
      <w:r>
        <w:rPr>
          <w:rFonts w:hint="eastAsia" w:ascii="仿宋" w:hAnsi="仿宋" w:eastAsia="仿宋" w:cs="仿宋"/>
          <w:spacing w:val="-7"/>
          <w:sz w:val="24"/>
          <w:szCs w:val="24"/>
          <w:u w:val="single"/>
        </w:rPr>
        <w:t xml:space="preserve">    </w:t>
      </w:r>
      <w:r>
        <w:rPr>
          <w:rFonts w:hint="eastAsia" w:ascii="仿宋" w:hAnsi="仿宋" w:eastAsia="仿宋" w:cs="仿宋"/>
          <w:spacing w:val="-7"/>
          <w:sz w:val="24"/>
          <w:szCs w:val="24"/>
        </w:rPr>
        <w:t>公司(招标代理机构)审查合格。</w:t>
      </w:r>
      <w:bookmarkStart w:id="31" w:name="十二、违约条款"/>
      <w:bookmarkEnd w:id="31"/>
    </w:p>
    <w:p w14:paraId="727548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37" w:right="2546"/>
        <w:jc w:val="left"/>
        <w:textAlignment w:val="auto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十二、违约条款</w:t>
      </w:r>
    </w:p>
    <w:p w14:paraId="22A3053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357" w:right="355" w:firstLine="48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</w:t>
      </w:r>
      <w:r>
        <w:rPr>
          <w:rFonts w:hint="eastAsia" w:ascii="仿宋" w:hAnsi="仿宋" w:eastAsia="仿宋" w:cs="仿宋"/>
          <w:spacing w:val="-10"/>
          <w:sz w:val="24"/>
          <w:szCs w:val="24"/>
        </w:rPr>
        <w:t>、 除本合同中规定的不可抗力外，其他不论任何原因，本合同所采购与供应设备，投标人若不能按规定期限送至甲方指定现场存货地点，甲方向乙方收取</w:t>
      </w:r>
      <w:r>
        <w:rPr>
          <w:rFonts w:hint="eastAsia" w:ascii="仿宋" w:hAnsi="仿宋" w:eastAsia="仿宋" w:cs="仿宋"/>
          <w:sz w:val="24"/>
          <w:szCs w:val="24"/>
        </w:rPr>
        <w:t>逾期运达设备总额（含增值税）每日</w:t>
      </w:r>
      <w:r>
        <w:rPr>
          <w:rFonts w:hint="eastAsia" w:ascii="仿宋" w:hAnsi="仿宋" w:eastAsia="仿宋" w:cs="仿宋"/>
          <w:spacing w:val="1"/>
          <w:sz w:val="24"/>
          <w:szCs w:val="24"/>
          <w:u w:val="single"/>
        </w:rPr>
        <w:t xml:space="preserve">    </w:t>
      </w:r>
      <w:r>
        <w:rPr>
          <w:rFonts w:hint="eastAsia" w:ascii="仿宋" w:hAnsi="仿宋" w:eastAsia="仿宋" w:cs="仿宋"/>
          <w:spacing w:val="-1"/>
          <w:sz w:val="24"/>
          <w:szCs w:val="24"/>
        </w:rPr>
        <w:t>％的违约金，并有权因乙方违约终止</w:t>
      </w:r>
      <w:r>
        <w:rPr>
          <w:rFonts w:hint="eastAsia" w:ascii="仿宋" w:hAnsi="仿宋" w:eastAsia="仿宋" w:cs="仿宋"/>
          <w:sz w:val="24"/>
          <w:szCs w:val="24"/>
        </w:rPr>
        <w:t>合同。</w:t>
      </w:r>
    </w:p>
    <w:p w14:paraId="6A93DD34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357" w:right="355" w:firstLine="48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</w:t>
      </w:r>
      <w:r>
        <w:rPr>
          <w:rFonts w:hint="eastAsia" w:ascii="仿宋" w:hAnsi="仿宋" w:eastAsia="仿宋" w:cs="仿宋"/>
          <w:spacing w:val="-1"/>
          <w:sz w:val="24"/>
          <w:szCs w:val="24"/>
        </w:rPr>
        <w:t>、对本合同所采购与供应的设备，甲方有权邀请当地有关质量监督管理部</w:t>
      </w:r>
      <w:r>
        <w:rPr>
          <w:rFonts w:hint="eastAsia" w:ascii="仿宋" w:hAnsi="仿宋" w:eastAsia="仿宋" w:cs="仿宋"/>
          <w:spacing w:val="-10"/>
          <w:sz w:val="24"/>
          <w:szCs w:val="24"/>
        </w:rPr>
        <w:t>门进行检验，并出具检验证书，发现乙方所供设备不符合要求，甲方向乙方提出</w:t>
      </w:r>
      <w:r>
        <w:rPr>
          <w:rFonts w:hint="eastAsia" w:ascii="仿宋" w:hAnsi="仿宋" w:eastAsia="仿宋" w:cs="仿宋"/>
          <w:sz w:val="24"/>
          <w:szCs w:val="24"/>
        </w:rPr>
        <w:t>索赔，乙方应予以接受。</w:t>
      </w:r>
    </w:p>
    <w:p w14:paraId="0D7B09D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357" w:right="355" w:firstLine="48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3、本合同所采购与供应的设备，在规定质量保证期限内甲方向乙方提出索赔，乙方应按下列条款向甲方赔偿：</w:t>
      </w:r>
    </w:p>
    <w:p w14:paraId="75A86742"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144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357" w:right="266" w:firstLine="4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同意甲方拒收设备，并把被拒收设备的预付货款返还乙方。</w:t>
      </w:r>
    </w:p>
    <w:p w14:paraId="55448A49"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144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357" w:right="266" w:firstLine="4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承担退货过程中发生的一切损失和费用，包括利息、银行费用、运输和保险费、检验费、仓储和装卸费以及为保管和保护退货设备所需的其它费用。</w:t>
      </w:r>
    </w:p>
    <w:p w14:paraId="5FA87C62"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144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357" w:right="266" w:firstLine="4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根据设备的质量缺陷和受损程度以及甲方遭受</w:t>
      </w:r>
      <w:r>
        <w:rPr>
          <w:rFonts w:hint="eastAsia" w:ascii="仿宋" w:hAnsi="仿宋" w:eastAsia="仿宋" w:cs="仿宋"/>
          <w:spacing w:val="-1"/>
          <w:sz w:val="24"/>
          <w:szCs w:val="24"/>
        </w:rPr>
        <w:t>损失，经双方协商同意</w:t>
      </w:r>
      <w:r>
        <w:rPr>
          <w:rFonts w:hint="eastAsia" w:ascii="仿宋" w:hAnsi="仿宋" w:eastAsia="仿宋" w:cs="仿宋"/>
          <w:sz w:val="24"/>
          <w:szCs w:val="24"/>
        </w:rPr>
        <w:t>降低设备价格。</w:t>
      </w:r>
    </w:p>
    <w:p w14:paraId="03FDEB5B"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144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357" w:right="355" w:firstLine="396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更换或修理有缺陷的设备，以达到合同约定的质量和性能，乙方承担</w:t>
      </w:r>
      <w:r>
        <w:rPr>
          <w:rFonts w:hint="eastAsia" w:ascii="仿宋" w:hAnsi="仿宋" w:eastAsia="仿宋" w:cs="仿宋"/>
          <w:spacing w:val="-9"/>
          <w:sz w:val="24"/>
          <w:szCs w:val="24"/>
        </w:rPr>
        <w:t>一切费用和风险，并承担甲方因此而造成的损失。同时相应延长被更换或修理设</w:t>
      </w:r>
      <w:r>
        <w:rPr>
          <w:rFonts w:hint="eastAsia" w:ascii="仿宋" w:hAnsi="仿宋" w:eastAsia="仿宋" w:cs="仿宋"/>
          <w:sz w:val="24"/>
          <w:szCs w:val="24"/>
        </w:rPr>
        <w:t>备的质</w:t>
      </w:r>
    </w:p>
    <w:p w14:paraId="30DDE04D">
      <w:pPr>
        <w:tabs>
          <w:tab w:val="left" w:pos="3520"/>
          <w:tab w:val="left" w:pos="6580"/>
        </w:tabs>
        <w:spacing w:before="55"/>
        <w:ind w:left="460"/>
        <w:jc w:val="right"/>
        <w:rPr>
          <w:rFonts w:hint="eastAsia" w:ascii="仿宋" w:hAnsi="仿宋" w:eastAsia="仿宋" w:cs="仿宋"/>
          <w:sz w:val="18"/>
        </w:rPr>
      </w:pPr>
      <w:r>
        <w:rPr>
          <w:rFonts w:hint="eastAsia" w:ascii="仿宋" w:hAnsi="仿宋" w:eastAsia="仿宋" w:cs="仿宋"/>
          <w:sz w:val="18"/>
        </w:rPr>
        <w:t>青岛理工大学合同</w:t>
      </w:r>
    </w:p>
    <w:p w14:paraId="780E8F16"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44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right="355" w:rightChars="0"/>
        <w:textAlignment w:val="auto"/>
        <w:rPr>
          <w:rFonts w:hint="eastAsia" w:ascii="仿宋" w:hAnsi="仿宋" w:eastAsia="仿宋" w:cs="仿宋"/>
          <w:sz w:val="24"/>
          <w:szCs w:val="24"/>
        </w:rPr>
      </w:pPr>
    </w:p>
    <w:p w14:paraId="393A0337"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44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right="355" w:right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量保证期。</w:t>
      </w:r>
    </w:p>
    <w:p w14:paraId="4E2F1B8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357" w:right="355" w:firstLine="48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</w:t>
      </w:r>
      <w:r>
        <w:rPr>
          <w:rFonts w:hint="eastAsia" w:ascii="仿宋" w:hAnsi="仿宋" w:eastAsia="仿宋" w:cs="仿宋"/>
          <w:spacing w:val="-4"/>
          <w:sz w:val="24"/>
          <w:szCs w:val="24"/>
        </w:rPr>
        <w:t xml:space="preserve">、甲方提出索赔通知后，乙方应在 </w:t>
      </w:r>
      <w:r>
        <w:rPr>
          <w:rFonts w:hint="eastAsia" w:ascii="仿宋" w:hAnsi="仿宋" w:eastAsia="仿宋" w:cs="仿宋"/>
          <w:sz w:val="24"/>
          <w:szCs w:val="24"/>
        </w:rPr>
        <w:t>28</w:t>
      </w:r>
      <w:r>
        <w:rPr>
          <w:rFonts w:hint="eastAsia" w:ascii="仿宋" w:hAnsi="仿宋" w:eastAsia="仿宋" w:cs="仿宋"/>
          <w:spacing w:val="-13"/>
          <w:sz w:val="24"/>
          <w:szCs w:val="24"/>
        </w:rPr>
        <w:t xml:space="preserve"> 日内答复，如果在 </w:t>
      </w:r>
      <w:r>
        <w:rPr>
          <w:rFonts w:hint="eastAsia" w:ascii="仿宋" w:hAnsi="仿宋" w:eastAsia="仿宋" w:cs="仿宋"/>
          <w:sz w:val="24"/>
          <w:szCs w:val="24"/>
        </w:rPr>
        <w:t>28</w:t>
      </w:r>
      <w:r>
        <w:rPr>
          <w:rFonts w:hint="eastAsia" w:ascii="仿宋" w:hAnsi="仿宋" w:eastAsia="仿宋" w:cs="仿宋"/>
          <w:spacing w:val="-11"/>
          <w:sz w:val="24"/>
          <w:szCs w:val="24"/>
        </w:rPr>
        <w:t xml:space="preserve"> 日内未答复， </w:t>
      </w:r>
      <w:r>
        <w:rPr>
          <w:rFonts w:hint="eastAsia" w:ascii="仿宋" w:hAnsi="仿宋" w:eastAsia="仿宋" w:cs="仿宋"/>
          <w:sz w:val="24"/>
          <w:szCs w:val="24"/>
        </w:rPr>
        <w:t>视为乙方已接受该索赔，同时甲方保留进一步要求赔偿的权利。</w:t>
      </w:r>
    </w:p>
    <w:p w14:paraId="66F0D13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37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5、乙方应按甲方要求及时提供符合本合同约定的增值税发票，必须确保发</w:t>
      </w:r>
    </w:p>
    <w:p w14:paraId="64B8CBD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357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票票面信息全部真实，相关设备品类、价款等内容与本合同相一致。</w:t>
      </w:r>
    </w:p>
    <w:p w14:paraId="16B95E9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357" w:right="266" w:firstLine="48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pacing w:val="-8"/>
          <w:sz w:val="24"/>
          <w:szCs w:val="24"/>
        </w:rPr>
        <w:t>因乙方开具的发票不规范、不合法等导致发票不能抵扣税款或涉嫌虚开发票</w:t>
      </w:r>
      <w:r>
        <w:rPr>
          <w:rFonts w:hint="eastAsia" w:ascii="仿宋" w:hAnsi="仿宋" w:eastAsia="仿宋" w:cs="仿宋"/>
          <w:spacing w:val="-9"/>
          <w:sz w:val="24"/>
          <w:szCs w:val="24"/>
        </w:rPr>
        <w:t>引起税务问题的，乙方应重新开具发票，并承担赔偿责任，包括但不限于税款、</w:t>
      </w:r>
      <w:r>
        <w:rPr>
          <w:rFonts w:hint="eastAsia" w:ascii="仿宋" w:hAnsi="仿宋" w:eastAsia="仿宋" w:cs="仿宋"/>
          <w:sz w:val="24"/>
          <w:szCs w:val="24"/>
        </w:rPr>
        <w:t>滞纳金、罚款及相关损失等。</w:t>
      </w:r>
    </w:p>
    <w:p w14:paraId="3ADA96D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357" w:right="355" w:firstLine="48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pacing w:val="-6"/>
          <w:sz w:val="24"/>
          <w:szCs w:val="24"/>
        </w:rPr>
        <w:t>因乙方开具发票不及时给甲方造成无法及时认证、抵扣发票等情形的，应承</w:t>
      </w:r>
      <w:r>
        <w:rPr>
          <w:rFonts w:hint="eastAsia" w:ascii="仿宋" w:hAnsi="仿宋" w:eastAsia="仿宋" w:cs="仿宋"/>
          <w:sz w:val="24"/>
          <w:szCs w:val="24"/>
        </w:rPr>
        <w:t>担赔偿责任，包括但不限于税款、滞纳金、罚款及相关损失等。</w:t>
      </w:r>
    </w:p>
    <w:p w14:paraId="4696DDE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357" w:right="355" w:firstLine="48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pacing w:val="-5"/>
          <w:sz w:val="24"/>
          <w:szCs w:val="24"/>
        </w:rPr>
        <w:t>乙方不得擅自作废或冲红已向甲方提供的发票，否则乙方须按发票金额</w:t>
      </w:r>
      <w:r>
        <w:rPr>
          <w:rFonts w:hint="eastAsia" w:ascii="仿宋" w:hAnsi="仿宋" w:eastAsia="仿宋" w:cs="仿宋"/>
          <w:sz w:val="24"/>
          <w:szCs w:val="24"/>
        </w:rPr>
        <w:t>（</w:t>
      </w:r>
      <w:r>
        <w:rPr>
          <w:rFonts w:hint="eastAsia" w:ascii="仿宋" w:hAnsi="仿宋" w:eastAsia="仿宋" w:cs="仿宋"/>
          <w:spacing w:val="-16"/>
          <w:sz w:val="24"/>
          <w:szCs w:val="24"/>
        </w:rPr>
        <w:t>含</w:t>
      </w:r>
      <w:r>
        <w:rPr>
          <w:rFonts w:hint="eastAsia" w:ascii="仿宋" w:hAnsi="仿宋" w:eastAsia="仿宋" w:cs="仿宋"/>
          <w:sz w:val="24"/>
          <w:szCs w:val="24"/>
        </w:rPr>
        <w:t>增值税）</w:t>
      </w:r>
      <w:r>
        <w:rPr>
          <w:rFonts w:hint="eastAsia" w:ascii="仿宋" w:hAnsi="仿宋" w:eastAsia="仿宋" w:cs="仿宋"/>
          <w:spacing w:val="-3"/>
          <w:sz w:val="24"/>
          <w:szCs w:val="24"/>
        </w:rPr>
        <w:t>的</w:t>
      </w:r>
      <w:r>
        <w:rPr>
          <w:rFonts w:hint="eastAsia" w:ascii="仿宋" w:hAnsi="仿宋" w:eastAsia="仿宋" w:cs="仿宋"/>
          <w:spacing w:val="1"/>
          <w:sz w:val="24"/>
          <w:szCs w:val="24"/>
          <w:u w:val="single"/>
        </w:rPr>
        <w:t xml:space="preserve">      </w:t>
      </w:r>
      <w:r>
        <w:rPr>
          <w:rFonts w:hint="eastAsia" w:ascii="仿宋" w:hAnsi="仿宋" w:eastAsia="仿宋" w:cs="仿宋"/>
          <w:spacing w:val="-1"/>
          <w:sz w:val="24"/>
          <w:szCs w:val="24"/>
        </w:rPr>
        <w:t>%向甲方支付违约金，并承担赔偿责任，包括但不限于税款、滞</w:t>
      </w:r>
      <w:r>
        <w:rPr>
          <w:rFonts w:hint="eastAsia" w:ascii="仿宋" w:hAnsi="仿宋" w:eastAsia="仿宋" w:cs="仿宋"/>
          <w:sz w:val="24"/>
          <w:szCs w:val="24"/>
        </w:rPr>
        <w:t>纳金、罚款及相关损失等。</w:t>
      </w:r>
    </w:p>
    <w:p w14:paraId="39C621C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357" w:right="355" w:firstLine="48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</w:t>
      </w:r>
      <w:r>
        <w:rPr>
          <w:rFonts w:hint="eastAsia" w:ascii="仿宋" w:hAnsi="仿宋" w:eastAsia="仿宋" w:cs="仿宋"/>
          <w:spacing w:val="-2"/>
          <w:sz w:val="24"/>
          <w:szCs w:val="24"/>
        </w:rPr>
        <w:t xml:space="preserve">、如乙方未按甲方要求的时间内足额足量供应设备，造成影响达 </w:t>
      </w:r>
      <w:r>
        <w:rPr>
          <w:rFonts w:hint="eastAsia" w:ascii="仿宋" w:hAnsi="仿宋" w:eastAsia="仿宋" w:cs="仿宋"/>
          <w:sz w:val="24"/>
          <w:szCs w:val="24"/>
        </w:rPr>
        <w:t>3</w:t>
      </w:r>
      <w:r>
        <w:rPr>
          <w:rFonts w:hint="eastAsia" w:ascii="仿宋" w:hAnsi="仿宋" w:eastAsia="仿宋" w:cs="仿宋"/>
          <w:spacing w:val="-17"/>
          <w:sz w:val="24"/>
          <w:szCs w:val="24"/>
        </w:rPr>
        <w:t xml:space="preserve"> 天及以</w:t>
      </w:r>
      <w:r>
        <w:rPr>
          <w:rFonts w:hint="eastAsia" w:ascii="仿宋" w:hAnsi="仿宋" w:eastAsia="仿宋" w:cs="仿宋"/>
          <w:spacing w:val="-10"/>
          <w:sz w:val="24"/>
          <w:szCs w:val="24"/>
        </w:rPr>
        <w:t>上，则甲方有权单方面终止合同，由此造成的一切损失由乙方承担，同时保留向</w:t>
      </w:r>
      <w:r>
        <w:rPr>
          <w:rFonts w:hint="eastAsia" w:ascii="仿宋" w:hAnsi="仿宋" w:eastAsia="仿宋" w:cs="仿宋"/>
          <w:sz w:val="24"/>
          <w:szCs w:val="24"/>
        </w:rPr>
        <w:t>乙方进一步索赔的权利。</w:t>
      </w:r>
    </w:p>
    <w:p w14:paraId="30FE063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357" w:right="355" w:firstLine="48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7、未经甲方同意，如乙方单方面终止供货，除承担给甲方造成的经济损失外，还应支付未供货货款总额（含增值税）</w:t>
      </w:r>
      <w:r>
        <w:rPr>
          <w:rFonts w:hint="eastAsia" w:ascii="仿宋" w:hAnsi="仿宋" w:eastAsia="仿宋" w:cs="仿宋"/>
          <w:spacing w:val="1"/>
          <w:sz w:val="24"/>
          <w:szCs w:val="24"/>
          <w:u w:val="single"/>
        </w:rPr>
        <w:t xml:space="preserve">    </w:t>
      </w:r>
      <w:r>
        <w:rPr>
          <w:rFonts w:hint="eastAsia" w:ascii="仿宋" w:hAnsi="仿宋" w:eastAsia="仿宋" w:cs="仿宋"/>
          <w:sz w:val="24"/>
          <w:szCs w:val="24"/>
          <w:u w:val="single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</w:rPr>
        <w:t>%的违约金。</w:t>
      </w:r>
    </w:p>
    <w:p w14:paraId="5BABD9E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textAlignment w:val="auto"/>
        <w:rPr>
          <w:rFonts w:hint="eastAsia" w:ascii="仿宋" w:hAnsi="仿宋" w:eastAsia="仿宋" w:cs="仿宋"/>
          <w:sz w:val="24"/>
          <w:szCs w:val="24"/>
        </w:rPr>
      </w:pPr>
      <w:bookmarkStart w:id="32" w:name="十三、不可抗力条款"/>
      <w:bookmarkEnd w:id="32"/>
      <w:r>
        <w:rPr>
          <w:rFonts w:hint="eastAsia" w:ascii="仿宋" w:hAnsi="仿宋" w:eastAsia="仿宋" w:cs="仿宋"/>
          <w:sz w:val="24"/>
          <w:szCs w:val="24"/>
        </w:rPr>
        <w:t>十三、不可抗力条款</w:t>
      </w:r>
    </w:p>
    <w:p w14:paraId="46D6D1F5">
      <w:pPr>
        <w:pStyle w:val="8"/>
        <w:keepNext w:val="0"/>
        <w:keepLines w:val="0"/>
        <w:pageBreakBefore w:val="0"/>
        <w:widowControl w:val="0"/>
        <w:numPr>
          <w:ilvl w:val="0"/>
          <w:numId w:val="2"/>
        </w:numPr>
        <w:tabs>
          <w:tab w:val="left" w:pos="119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266" w:firstLine="480" w:firstLineChars="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bookmarkStart w:id="33" w:name="1. 不可抗力系指签约双方在缔结合同时所不能预见，并且对其发生及后果无法避免和克"/>
      <w:bookmarkEnd w:id="33"/>
      <w:r>
        <w:rPr>
          <w:rFonts w:hint="eastAsia" w:ascii="仿宋" w:hAnsi="仿宋" w:eastAsia="仿宋" w:cs="仿宋"/>
          <w:sz w:val="24"/>
          <w:szCs w:val="24"/>
        </w:rPr>
        <w:t>不可抗力系指签约双方在缔结合同时所不能预见，并且对其发生及后果</w:t>
      </w:r>
      <w:r>
        <w:rPr>
          <w:rFonts w:hint="eastAsia" w:ascii="仿宋" w:hAnsi="仿宋" w:eastAsia="仿宋" w:cs="仿宋"/>
          <w:spacing w:val="-1"/>
          <w:sz w:val="24"/>
          <w:szCs w:val="24"/>
        </w:rPr>
        <w:t>无法避免和克服</w:t>
      </w:r>
    </w:p>
    <w:p w14:paraId="17E78658">
      <w:pPr>
        <w:pStyle w:val="8"/>
        <w:keepNext w:val="0"/>
        <w:keepLines w:val="0"/>
        <w:pageBreakBefore w:val="0"/>
        <w:widowControl w:val="0"/>
        <w:tabs>
          <w:tab w:val="left" w:pos="119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80" w:right="266" w:firstLine="0" w:firstLineChars="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的事件。任何一方由于受到诸如战争、严重火灾、洪水、台风、</w:t>
      </w:r>
      <w:r>
        <w:rPr>
          <w:rFonts w:hint="eastAsia" w:ascii="仿宋" w:hAnsi="仿宋" w:eastAsia="仿宋" w:cs="仿宋"/>
          <w:spacing w:val="-5"/>
          <w:sz w:val="24"/>
          <w:szCs w:val="24"/>
        </w:rPr>
        <w:t>地震等不可抗力的影响而不能执行合同时，履行合同的期限应予以延长，延长期限相当于不可抗力所影响的时间。</w:t>
      </w:r>
    </w:p>
    <w:p w14:paraId="36B21FCD">
      <w:pPr>
        <w:pStyle w:val="8"/>
        <w:keepNext w:val="0"/>
        <w:keepLines w:val="0"/>
        <w:pageBreakBefore w:val="0"/>
        <w:widowControl w:val="0"/>
        <w:numPr>
          <w:ilvl w:val="0"/>
          <w:numId w:val="2"/>
        </w:numPr>
        <w:tabs>
          <w:tab w:val="left" w:pos="119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355" w:firstLine="480" w:firstLineChars="0"/>
        <w:textAlignment w:val="auto"/>
        <w:rPr>
          <w:rFonts w:hint="eastAsia" w:ascii="仿宋" w:hAnsi="仿宋" w:eastAsia="仿宋" w:cs="仿宋"/>
          <w:sz w:val="24"/>
          <w:szCs w:val="24"/>
        </w:rPr>
      </w:pPr>
      <w:bookmarkStart w:id="34" w:name="2. 受阻方应在不可抗力事件发生后尽快用电报、传真或电传等书面形式通知对方，并于"/>
      <w:bookmarkEnd w:id="34"/>
      <w:r>
        <w:rPr>
          <w:rFonts w:hint="eastAsia" w:ascii="仿宋" w:hAnsi="仿宋" w:eastAsia="仿宋" w:cs="仿宋"/>
          <w:spacing w:val="-1"/>
          <w:sz w:val="24"/>
          <w:szCs w:val="24"/>
        </w:rPr>
        <w:t>受阻方应在不可抗力事件发生后尽快用电报、传真或电传等书面形式通</w:t>
      </w:r>
      <w:r>
        <w:rPr>
          <w:rFonts w:hint="eastAsia" w:ascii="仿宋" w:hAnsi="仿宋" w:eastAsia="仿宋" w:cs="仿宋"/>
          <w:spacing w:val="-5"/>
          <w:sz w:val="24"/>
          <w:szCs w:val="24"/>
        </w:rPr>
        <w:t xml:space="preserve">知对方，并于事件发生后 </w:t>
      </w:r>
      <w:r>
        <w:rPr>
          <w:rFonts w:hint="eastAsia" w:ascii="仿宋" w:hAnsi="仿宋" w:eastAsia="仿宋" w:cs="仿宋"/>
          <w:sz w:val="24"/>
          <w:szCs w:val="24"/>
        </w:rPr>
        <w:t>14</w:t>
      </w:r>
      <w:r>
        <w:rPr>
          <w:rFonts w:hint="eastAsia" w:ascii="仿宋" w:hAnsi="仿宋" w:eastAsia="仿宋" w:cs="仿宋"/>
          <w:spacing w:val="-9"/>
          <w:sz w:val="24"/>
          <w:szCs w:val="24"/>
        </w:rPr>
        <w:t xml:space="preserve"> 日内将有关当局出具的证明文件用特快专递或挂号</w:t>
      </w:r>
      <w:r>
        <w:rPr>
          <w:rFonts w:hint="eastAsia" w:ascii="仿宋" w:hAnsi="仿宋" w:eastAsia="仿宋" w:cs="仿宋"/>
          <w:spacing w:val="-8"/>
          <w:sz w:val="24"/>
          <w:szCs w:val="24"/>
        </w:rPr>
        <w:t>信寄给对方审阅确认，同时，受阻方应</w:t>
      </w:r>
    </w:p>
    <w:p w14:paraId="321908F2">
      <w:pPr>
        <w:keepNext w:val="0"/>
        <w:keepLines w:val="0"/>
        <w:pageBreakBefore w:val="0"/>
        <w:widowControl w:val="0"/>
        <w:tabs>
          <w:tab w:val="left" w:pos="3520"/>
          <w:tab w:val="left" w:pos="65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6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pacing w:val="-8"/>
          <w:sz w:val="24"/>
          <w:szCs w:val="24"/>
        </w:rPr>
        <w:t>尽可能继续履行合同义务，积极采取合理</w:t>
      </w:r>
      <w:r>
        <w:rPr>
          <w:rFonts w:hint="eastAsia" w:ascii="仿宋" w:hAnsi="仿宋" w:eastAsia="仿宋" w:cs="仿宋"/>
          <w:sz w:val="24"/>
          <w:szCs w:val="24"/>
        </w:rPr>
        <w:t>的方案履行不受不可抗力影响的其他事项。</w:t>
      </w:r>
    </w:p>
    <w:p w14:paraId="55AE10B9">
      <w:pPr>
        <w:tabs>
          <w:tab w:val="left" w:pos="3520"/>
          <w:tab w:val="left" w:pos="6580"/>
        </w:tabs>
        <w:spacing w:before="55"/>
        <w:ind w:left="460"/>
        <w:jc w:val="right"/>
        <w:rPr>
          <w:rFonts w:hint="eastAsia" w:ascii="仿宋" w:hAnsi="仿宋" w:eastAsia="仿宋" w:cs="仿宋"/>
          <w:sz w:val="18"/>
        </w:rPr>
      </w:pPr>
      <w:r>
        <w:rPr>
          <w:rFonts w:hint="eastAsia" w:ascii="仿宋" w:hAnsi="仿宋" w:eastAsia="仿宋" w:cs="仿宋"/>
          <w:sz w:val="18"/>
        </w:rPr>
        <w:t>青岛理工大学合同</w:t>
      </w:r>
    </w:p>
    <w:p w14:paraId="00909497">
      <w:pPr>
        <w:keepNext w:val="0"/>
        <w:keepLines w:val="0"/>
        <w:pageBreakBefore w:val="0"/>
        <w:widowControl w:val="0"/>
        <w:tabs>
          <w:tab w:val="left" w:pos="3520"/>
          <w:tab w:val="left" w:pos="65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60"/>
        <w:textAlignment w:val="auto"/>
        <w:rPr>
          <w:rFonts w:hint="eastAsia" w:ascii="仿宋" w:hAnsi="仿宋" w:eastAsia="仿宋" w:cs="仿宋"/>
          <w:sz w:val="24"/>
          <w:szCs w:val="24"/>
        </w:rPr>
      </w:pPr>
    </w:p>
    <w:p w14:paraId="1DF1C3D2">
      <w:pPr>
        <w:pStyle w:val="8"/>
        <w:keepNext w:val="0"/>
        <w:keepLines w:val="0"/>
        <w:pageBreakBefore w:val="0"/>
        <w:widowControl w:val="0"/>
        <w:numPr>
          <w:ilvl w:val="0"/>
          <w:numId w:val="2"/>
        </w:numPr>
        <w:tabs>
          <w:tab w:val="left" w:pos="119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355" w:firstLine="480" w:firstLineChars="0"/>
        <w:textAlignment w:val="auto"/>
        <w:rPr>
          <w:rFonts w:hint="eastAsia" w:ascii="仿宋" w:hAnsi="仿宋" w:eastAsia="仿宋" w:cs="仿宋"/>
          <w:sz w:val="24"/>
          <w:szCs w:val="24"/>
        </w:rPr>
      </w:pPr>
      <w:bookmarkStart w:id="35" w:name="3. 不可抗力事件影响持续60日以上，双方通过友好协商，在合理时间内达成进一步履"/>
      <w:bookmarkEnd w:id="35"/>
      <w:r>
        <w:rPr>
          <w:rFonts w:hint="eastAsia" w:ascii="仿宋" w:hAnsi="仿宋" w:eastAsia="仿宋" w:cs="仿宋"/>
          <w:spacing w:val="-6"/>
          <w:sz w:val="24"/>
          <w:szCs w:val="24"/>
        </w:rPr>
        <w:t xml:space="preserve">不可抗力事件影响持续 </w:t>
      </w:r>
      <w:r>
        <w:rPr>
          <w:rFonts w:hint="eastAsia" w:ascii="仿宋" w:hAnsi="仿宋" w:eastAsia="仿宋" w:cs="仿宋"/>
          <w:sz w:val="24"/>
          <w:szCs w:val="24"/>
        </w:rPr>
        <w:t>60</w:t>
      </w:r>
      <w:r>
        <w:rPr>
          <w:rFonts w:hint="eastAsia" w:ascii="仿宋" w:hAnsi="仿宋" w:eastAsia="仿宋" w:cs="仿宋"/>
          <w:spacing w:val="-15"/>
          <w:sz w:val="24"/>
          <w:szCs w:val="24"/>
        </w:rPr>
        <w:t xml:space="preserve"> 日以上，双方通过友好协商，在合理时间内达</w:t>
      </w:r>
      <w:r>
        <w:rPr>
          <w:rFonts w:hint="eastAsia" w:ascii="仿宋" w:hAnsi="仿宋" w:eastAsia="仿宋" w:cs="仿宋"/>
          <w:sz w:val="24"/>
          <w:szCs w:val="24"/>
        </w:rPr>
        <w:t>成进一步履行或解除合同的协议。</w:t>
      </w:r>
    </w:p>
    <w:p w14:paraId="3F3A7E21">
      <w:pPr>
        <w:pStyle w:val="8"/>
        <w:keepNext w:val="0"/>
        <w:keepLines w:val="0"/>
        <w:pageBreakBefore w:val="0"/>
        <w:widowControl w:val="0"/>
        <w:numPr>
          <w:ilvl w:val="0"/>
          <w:numId w:val="2"/>
        </w:numPr>
        <w:tabs>
          <w:tab w:val="left" w:pos="119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355" w:firstLine="480" w:firstLineChars="0"/>
        <w:textAlignment w:val="auto"/>
        <w:rPr>
          <w:rFonts w:hint="eastAsia" w:ascii="仿宋" w:hAnsi="仿宋" w:eastAsia="仿宋" w:cs="仿宋"/>
          <w:sz w:val="24"/>
          <w:szCs w:val="24"/>
        </w:rPr>
      </w:pPr>
      <w:bookmarkStart w:id="36" w:name="4. 本条款所定义的不可抗力是指不能预见、不能避免并不能克服的客观情况，对于经营"/>
      <w:bookmarkEnd w:id="36"/>
      <w:r>
        <w:rPr>
          <w:rFonts w:hint="eastAsia" w:ascii="仿宋" w:hAnsi="仿宋" w:eastAsia="仿宋" w:cs="仿宋"/>
          <w:spacing w:val="-1"/>
          <w:sz w:val="24"/>
          <w:szCs w:val="24"/>
        </w:rPr>
        <w:t>本条款所定义的不可抗力是指不能预见、不能避免并不能克服的客观情</w:t>
      </w:r>
      <w:r>
        <w:rPr>
          <w:rFonts w:hint="eastAsia" w:ascii="仿宋" w:hAnsi="仿宋" w:eastAsia="仿宋" w:cs="仿宋"/>
          <w:spacing w:val="-10"/>
          <w:sz w:val="24"/>
          <w:szCs w:val="24"/>
        </w:rPr>
        <w:t>况，对于经营状况严重恶化、安排不周及税收政策的调整等情形，无论严重程度</w:t>
      </w:r>
      <w:r>
        <w:rPr>
          <w:rFonts w:hint="eastAsia" w:ascii="仿宋" w:hAnsi="仿宋" w:eastAsia="仿宋" w:cs="仿宋"/>
          <w:sz w:val="24"/>
          <w:szCs w:val="24"/>
        </w:rPr>
        <w:t>如何，均不理解为不可抗力。</w:t>
      </w:r>
    </w:p>
    <w:p w14:paraId="33CC183D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textAlignment w:val="auto"/>
        <w:rPr>
          <w:rFonts w:hint="eastAsia" w:ascii="仿宋" w:hAnsi="仿宋" w:eastAsia="仿宋" w:cs="仿宋"/>
          <w:sz w:val="24"/>
          <w:szCs w:val="24"/>
        </w:rPr>
      </w:pPr>
      <w:bookmarkStart w:id="37" w:name="十四、争议的解决方式"/>
      <w:bookmarkEnd w:id="37"/>
      <w:r>
        <w:rPr>
          <w:rFonts w:hint="eastAsia" w:ascii="仿宋" w:hAnsi="仿宋" w:eastAsia="仿宋" w:cs="仿宋"/>
          <w:sz w:val="24"/>
          <w:szCs w:val="24"/>
        </w:rPr>
        <w:t>十四、争议的解决方式</w:t>
      </w:r>
    </w:p>
    <w:p w14:paraId="68B83E3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357" w:right="235" w:firstLine="480"/>
        <w:textAlignment w:val="auto"/>
        <w:rPr>
          <w:rFonts w:hint="eastAsia" w:ascii="仿宋" w:hAnsi="仿宋" w:eastAsia="仿宋" w:cs="仿宋"/>
          <w:sz w:val="24"/>
          <w:szCs w:val="24"/>
        </w:rPr>
      </w:pPr>
      <w:bookmarkStart w:id="38" w:name="合同发生纠纷时，双方应协商解决，协商不成可以采用下列方式解决：（1）提交青岛仲裁"/>
      <w:bookmarkEnd w:id="38"/>
      <w:r>
        <w:rPr>
          <w:rFonts w:hint="eastAsia" w:ascii="仿宋" w:hAnsi="仿宋" w:eastAsia="仿宋" w:cs="仿宋"/>
          <w:spacing w:val="-6"/>
          <w:sz w:val="24"/>
          <w:szCs w:val="24"/>
        </w:rPr>
        <w:t>合同发生纠纷时，双方应协商解决，协商不成可以采用下列方式解决：</w:t>
      </w:r>
      <w:r>
        <w:rPr>
          <w:rFonts w:hint="eastAsia" w:ascii="仿宋" w:hAnsi="仿宋" w:eastAsia="仿宋" w:cs="仿宋"/>
          <w:spacing w:val="-15"/>
          <w:sz w:val="24"/>
          <w:szCs w:val="24"/>
        </w:rPr>
        <w:t xml:space="preserve">（1） </w:t>
      </w:r>
      <w:r>
        <w:rPr>
          <w:rFonts w:hint="eastAsia" w:ascii="仿宋" w:hAnsi="仿宋" w:eastAsia="仿宋" w:cs="仿宋"/>
          <w:spacing w:val="-2"/>
          <w:sz w:val="24"/>
          <w:szCs w:val="24"/>
        </w:rPr>
        <w:t>提交青岛仲裁委员会仲裁；</w:t>
      </w:r>
      <w:r>
        <w:rPr>
          <w:rFonts w:hint="eastAsia" w:ascii="仿宋" w:hAnsi="仿宋" w:eastAsia="仿宋" w:cs="仿宋"/>
          <w:spacing w:val="-17"/>
          <w:sz w:val="24"/>
          <w:szCs w:val="24"/>
        </w:rPr>
        <w:t>（2）</w:t>
      </w:r>
      <w:r>
        <w:rPr>
          <w:rFonts w:hint="eastAsia" w:ascii="仿宋" w:hAnsi="仿宋" w:eastAsia="仿宋" w:cs="仿宋"/>
          <w:spacing w:val="-3"/>
          <w:sz w:val="24"/>
          <w:szCs w:val="24"/>
        </w:rPr>
        <w:t xml:space="preserve">向甲方所在地人民法院起诉。本合同发生纠纷， </w:t>
      </w:r>
      <w:r>
        <w:rPr>
          <w:rFonts w:hint="eastAsia" w:ascii="仿宋" w:hAnsi="仿宋" w:eastAsia="仿宋" w:cs="仿宋"/>
          <w:sz w:val="24"/>
          <w:szCs w:val="24"/>
        </w:rPr>
        <w:t>经双方协商不能解决时，首先采用第(2)种方式予以解决。</w:t>
      </w:r>
    </w:p>
    <w:p w14:paraId="55891C7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textAlignment w:val="auto"/>
        <w:rPr>
          <w:rFonts w:hint="eastAsia" w:ascii="仿宋" w:hAnsi="仿宋" w:eastAsia="仿宋" w:cs="仿宋"/>
          <w:sz w:val="24"/>
          <w:szCs w:val="24"/>
        </w:rPr>
      </w:pPr>
      <w:bookmarkStart w:id="39" w:name="十五、补充协议"/>
      <w:bookmarkEnd w:id="39"/>
      <w:r>
        <w:rPr>
          <w:rFonts w:hint="eastAsia" w:ascii="仿宋" w:hAnsi="仿宋" w:eastAsia="仿宋" w:cs="仿宋"/>
          <w:sz w:val="24"/>
          <w:szCs w:val="24"/>
        </w:rPr>
        <w:t>十五、补充协议</w:t>
      </w:r>
    </w:p>
    <w:p w14:paraId="39565C3C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357" w:right="355" w:firstLine="480"/>
        <w:textAlignment w:val="auto"/>
        <w:rPr>
          <w:rFonts w:hint="eastAsia" w:ascii="仿宋" w:hAnsi="仿宋" w:eastAsia="仿宋" w:cs="仿宋"/>
          <w:sz w:val="24"/>
          <w:szCs w:val="24"/>
        </w:rPr>
      </w:pPr>
      <w:bookmarkStart w:id="40" w:name="合同未尽事宜，经双方协商可签订补充协议，所签订的补充协议与本合同具有同等的法律效"/>
      <w:bookmarkEnd w:id="40"/>
      <w:r>
        <w:rPr>
          <w:rFonts w:hint="eastAsia" w:ascii="仿宋" w:hAnsi="仿宋" w:eastAsia="仿宋" w:cs="仿宋"/>
          <w:spacing w:val="-10"/>
          <w:sz w:val="24"/>
          <w:szCs w:val="24"/>
        </w:rPr>
        <w:t>合同未尽事宜，经双方协商可签订补充协议，所签订的补充协议与本合同具</w:t>
      </w:r>
      <w:r>
        <w:rPr>
          <w:rFonts w:hint="eastAsia" w:ascii="仿宋" w:hAnsi="仿宋" w:eastAsia="仿宋" w:cs="仿宋"/>
          <w:spacing w:val="-9"/>
          <w:sz w:val="24"/>
          <w:szCs w:val="24"/>
        </w:rPr>
        <w:t>有同等的法律效力，补充协议的生效应符合本合同第十二条的规定。合同补充条</w:t>
      </w:r>
      <w:r>
        <w:rPr>
          <w:rFonts w:hint="eastAsia" w:ascii="仿宋" w:hAnsi="仿宋" w:eastAsia="仿宋" w:cs="仿宋"/>
          <w:sz w:val="24"/>
          <w:szCs w:val="24"/>
        </w:rPr>
        <w:t>款应报采购代理公司备案。</w:t>
      </w:r>
    </w:p>
    <w:p w14:paraId="08CC6D27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textAlignment w:val="auto"/>
        <w:rPr>
          <w:rFonts w:hint="eastAsia" w:ascii="仿宋" w:hAnsi="仿宋" w:eastAsia="仿宋" w:cs="仿宋"/>
          <w:sz w:val="24"/>
          <w:szCs w:val="24"/>
        </w:rPr>
      </w:pPr>
      <w:bookmarkStart w:id="41" w:name="十六、合同保存"/>
      <w:bookmarkEnd w:id="41"/>
      <w:r>
        <w:rPr>
          <w:rFonts w:hint="eastAsia" w:ascii="仿宋" w:hAnsi="仿宋" w:eastAsia="仿宋" w:cs="仿宋"/>
          <w:sz w:val="24"/>
          <w:szCs w:val="24"/>
        </w:rPr>
        <w:t>十六、合同保存</w:t>
      </w:r>
    </w:p>
    <w:p w14:paraId="3B97C97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37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本合同一式柒份，甲方伍份，乙方一份，</w:t>
      </w:r>
      <w:r>
        <w:rPr>
          <w:rFonts w:hint="eastAsia" w:ascii="仿宋" w:hAnsi="仿宋" w:eastAsia="仿宋" w:cs="仿宋"/>
          <w:spacing w:val="1"/>
          <w:sz w:val="24"/>
          <w:szCs w:val="24"/>
          <w:u w:val="single"/>
        </w:rPr>
        <w:t xml:space="preserve">       </w:t>
      </w:r>
      <w:r>
        <w:rPr>
          <w:rFonts w:hint="eastAsia" w:ascii="仿宋" w:hAnsi="仿宋" w:eastAsia="仿宋" w:cs="仿宋"/>
          <w:sz w:val="24"/>
          <w:szCs w:val="24"/>
        </w:rPr>
        <w:t>公司（招标代理公司）一份。</w:t>
      </w:r>
    </w:p>
    <w:p w14:paraId="44A9D70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hint="eastAsia" w:ascii="仿宋" w:hAnsi="仿宋" w:eastAsia="仿宋" w:cs="仿宋"/>
          <w:sz w:val="24"/>
          <w:szCs w:val="24"/>
        </w:rPr>
      </w:pPr>
    </w:p>
    <w:p w14:paraId="40C15CD5">
      <w:pPr>
        <w:pStyle w:val="4"/>
        <w:keepNext w:val="0"/>
        <w:keepLines w:val="0"/>
        <w:pageBreakBefore w:val="0"/>
        <w:widowControl w:val="0"/>
        <w:tabs>
          <w:tab w:val="left" w:pos="443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357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   甲方：青岛理工大学</w:t>
      </w:r>
      <w:r>
        <w:rPr>
          <w:rFonts w:hint="eastAsia" w:ascii="仿宋" w:hAnsi="仿宋" w:eastAsia="仿宋" w:cs="仿宋"/>
          <w:sz w:val="24"/>
          <w:szCs w:val="24"/>
        </w:rPr>
        <w:tab/>
      </w:r>
      <w:r>
        <w:rPr>
          <w:rFonts w:hint="eastAsia" w:ascii="仿宋" w:hAnsi="仿宋" w:eastAsia="仿宋" w:cs="仿宋"/>
          <w:sz w:val="24"/>
          <w:szCs w:val="24"/>
        </w:rPr>
        <w:t>乙方：</w:t>
      </w:r>
    </w:p>
    <w:p w14:paraId="18A3F3EC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hint="eastAsia" w:ascii="仿宋" w:hAnsi="仿宋" w:eastAsia="仿宋" w:cs="仿宋"/>
          <w:sz w:val="24"/>
          <w:szCs w:val="24"/>
        </w:rPr>
      </w:pPr>
    </w:p>
    <w:p w14:paraId="349B12D0">
      <w:pPr>
        <w:pStyle w:val="4"/>
        <w:keepNext w:val="0"/>
        <w:keepLines w:val="0"/>
        <w:pageBreakBefore w:val="0"/>
        <w:widowControl w:val="0"/>
        <w:tabs>
          <w:tab w:val="left" w:pos="443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357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  盖章</w:t>
      </w:r>
      <w:r>
        <w:rPr>
          <w:rFonts w:hint="eastAsia" w:ascii="仿宋" w:hAnsi="仿宋" w:eastAsia="仿宋" w:cs="仿宋"/>
          <w:sz w:val="24"/>
          <w:szCs w:val="24"/>
        </w:rPr>
        <w:tab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4"/>
          <w:szCs w:val="24"/>
        </w:rPr>
        <w:t>盖章</w:t>
      </w:r>
    </w:p>
    <w:p w14:paraId="0A397F4C">
      <w:pPr>
        <w:pStyle w:val="4"/>
        <w:keepNext w:val="0"/>
        <w:keepLines w:val="0"/>
        <w:pageBreakBefore w:val="0"/>
        <w:widowControl w:val="0"/>
        <w:tabs>
          <w:tab w:val="left" w:pos="443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357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  全权代表：（签字或盖章）</w:t>
      </w:r>
      <w:r>
        <w:rPr>
          <w:rFonts w:hint="eastAsia" w:ascii="仿宋" w:hAnsi="仿宋" w:eastAsia="仿宋" w:cs="仿宋"/>
          <w:sz w:val="24"/>
          <w:szCs w:val="24"/>
        </w:rPr>
        <w:tab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4"/>
          <w:szCs w:val="24"/>
        </w:rPr>
        <w:t>全权代表：（签字或盖章）</w:t>
      </w:r>
    </w:p>
    <w:p w14:paraId="27F24A9B">
      <w:pPr>
        <w:pStyle w:val="4"/>
        <w:keepNext w:val="0"/>
        <w:keepLines w:val="0"/>
        <w:pageBreakBefore w:val="0"/>
        <w:widowControl w:val="0"/>
        <w:tabs>
          <w:tab w:val="left" w:pos="443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357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  地址：青岛市市北区抚顺路</w:t>
      </w:r>
      <w:r>
        <w:rPr>
          <w:rFonts w:hint="eastAsia" w:ascii="仿宋" w:hAnsi="仿宋" w:eastAsia="仿宋" w:cs="仿宋"/>
          <w:spacing w:val="-60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</w:rPr>
        <w:t>11</w:t>
      </w:r>
      <w:r>
        <w:rPr>
          <w:rFonts w:hint="eastAsia" w:ascii="仿宋" w:hAnsi="仿宋" w:eastAsia="仿宋" w:cs="仿宋"/>
          <w:spacing w:val="-60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</w:rPr>
        <w:t>号</w:t>
      </w:r>
      <w:r>
        <w:rPr>
          <w:rFonts w:hint="eastAsia" w:ascii="仿宋" w:hAnsi="仿宋" w:eastAsia="仿宋" w:cs="仿宋"/>
          <w:sz w:val="24"/>
          <w:szCs w:val="24"/>
        </w:rPr>
        <w:tab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4"/>
          <w:szCs w:val="24"/>
        </w:rPr>
        <w:t>地址：</w:t>
      </w:r>
    </w:p>
    <w:p w14:paraId="73CA03D5">
      <w:pPr>
        <w:pStyle w:val="4"/>
        <w:keepNext w:val="0"/>
        <w:keepLines w:val="0"/>
        <w:pageBreakBefore w:val="0"/>
        <w:widowControl w:val="0"/>
        <w:tabs>
          <w:tab w:val="left" w:pos="443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357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  电话：</w:t>
      </w:r>
      <w:r>
        <w:rPr>
          <w:rFonts w:hint="eastAsia" w:ascii="仿宋" w:hAnsi="仿宋" w:eastAsia="仿宋" w:cs="仿宋"/>
          <w:sz w:val="24"/>
          <w:szCs w:val="24"/>
        </w:rPr>
        <w:tab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4"/>
          <w:szCs w:val="24"/>
        </w:rPr>
        <w:t>电话：</w:t>
      </w:r>
    </w:p>
    <w:p w14:paraId="00F9C45E">
      <w:pPr>
        <w:pStyle w:val="4"/>
        <w:keepNext w:val="0"/>
        <w:keepLines w:val="0"/>
        <w:pageBreakBefore w:val="0"/>
        <w:widowControl w:val="0"/>
        <w:tabs>
          <w:tab w:val="left" w:pos="3297"/>
          <w:tab w:val="left" w:pos="3777"/>
          <w:tab w:val="left" w:pos="4497"/>
          <w:tab w:val="left" w:pos="7557"/>
          <w:tab w:val="left" w:pos="815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357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24"/>
          <w:szCs w:val="24"/>
        </w:rPr>
        <w:t>本合同签订时间： 年  月  日</w:t>
      </w:r>
      <w:r>
        <w:rPr>
          <w:rFonts w:hint="eastAsia" w:ascii="仿宋" w:hAnsi="仿宋" w:eastAsia="仿宋" w:cs="仿宋"/>
          <w:sz w:val="24"/>
          <w:szCs w:val="24"/>
        </w:rPr>
        <w:tab/>
      </w:r>
      <w:r>
        <w:rPr>
          <w:rFonts w:hint="eastAsia" w:ascii="仿宋" w:hAnsi="仿宋" w:eastAsia="仿宋" w:cs="仿宋"/>
          <w:sz w:val="24"/>
          <w:szCs w:val="24"/>
        </w:rPr>
        <w:t xml:space="preserve">    本合同签订时间：  年  月  日</w:t>
      </w:r>
    </w:p>
    <w:p w14:paraId="77CECD7C">
      <w:pPr>
        <w:pStyle w:val="4"/>
        <w:rPr>
          <w:rFonts w:hint="eastAsia" w:ascii="仿宋" w:hAnsi="仿宋" w:eastAsia="仿宋" w:cs="仿宋"/>
        </w:rPr>
      </w:pPr>
    </w:p>
    <w:p w14:paraId="142C135A">
      <w:pPr>
        <w:tabs>
          <w:tab w:val="left" w:pos="3520"/>
          <w:tab w:val="left" w:pos="6580"/>
        </w:tabs>
        <w:spacing w:before="55"/>
        <w:ind w:left="460"/>
        <w:jc w:val="right"/>
        <w:rPr>
          <w:rFonts w:hint="eastAsia" w:ascii="仿宋" w:eastAsia="仿宋"/>
          <w:sz w:val="18"/>
        </w:rPr>
      </w:pPr>
    </w:p>
    <w:p w14:paraId="7ABE28EC">
      <w:pPr>
        <w:tabs>
          <w:tab w:val="left" w:pos="3520"/>
          <w:tab w:val="left" w:pos="6580"/>
        </w:tabs>
        <w:spacing w:before="55"/>
        <w:ind w:left="460"/>
        <w:jc w:val="right"/>
        <w:rPr>
          <w:rFonts w:hint="eastAsia" w:ascii="仿宋" w:eastAsia="仿宋"/>
          <w:sz w:val="18"/>
        </w:rPr>
      </w:pPr>
    </w:p>
    <w:p w14:paraId="5868ABC1">
      <w:pPr>
        <w:tabs>
          <w:tab w:val="left" w:pos="3520"/>
          <w:tab w:val="left" w:pos="6580"/>
        </w:tabs>
        <w:spacing w:before="55"/>
        <w:ind w:left="460"/>
        <w:jc w:val="right"/>
        <w:rPr>
          <w:rFonts w:hint="eastAsia" w:ascii="仿宋" w:eastAsia="仿宋"/>
          <w:sz w:val="18"/>
        </w:rPr>
      </w:pPr>
    </w:p>
    <w:p w14:paraId="184BA3A9">
      <w:pPr>
        <w:tabs>
          <w:tab w:val="left" w:pos="3520"/>
          <w:tab w:val="left" w:pos="6580"/>
        </w:tabs>
        <w:spacing w:before="55"/>
        <w:ind w:left="460"/>
        <w:jc w:val="right"/>
        <w:rPr>
          <w:rFonts w:hint="eastAsia" w:ascii="仿宋" w:eastAsia="仿宋"/>
          <w:sz w:val="18"/>
        </w:rPr>
      </w:pPr>
    </w:p>
    <w:p w14:paraId="5880E2A8">
      <w:pPr>
        <w:tabs>
          <w:tab w:val="left" w:pos="3520"/>
          <w:tab w:val="left" w:pos="6580"/>
        </w:tabs>
        <w:spacing w:before="55"/>
        <w:ind w:left="460"/>
        <w:jc w:val="right"/>
        <w:rPr>
          <w:rFonts w:hint="eastAsia" w:ascii="仿宋" w:eastAsia="仿宋"/>
          <w:sz w:val="18"/>
        </w:rPr>
      </w:pPr>
    </w:p>
    <w:p w14:paraId="5334F59F">
      <w:pPr>
        <w:pStyle w:val="3"/>
        <w:spacing w:before="66"/>
        <w:ind w:left="26" w:right="7612"/>
        <w:jc w:val="center"/>
      </w:pPr>
      <w:r>
        <w:t>附件一</w:t>
      </w:r>
    </w:p>
    <w:p w14:paraId="519FA8D1"/>
    <w:p w14:paraId="7B5EEF11"/>
    <w:p w14:paraId="77D913C1">
      <w:pPr>
        <w:spacing w:before="5"/>
        <w:ind w:left="26" w:right="26"/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  <w:lang w:val="en-US" w:eastAsia="zh-CN"/>
        </w:rPr>
        <w:t>技术参数</w:t>
      </w:r>
      <w:bookmarkStart w:id="42" w:name="_GoBack"/>
      <w:bookmarkEnd w:id="42"/>
    </w:p>
    <w:p w14:paraId="21CB8B2C">
      <w:pPr>
        <w:pStyle w:val="4"/>
        <w:spacing w:before="163" w:line="266" w:lineRule="auto"/>
        <w:ind w:left="740" w:leftChars="252" w:right="2947" w:hanging="236" w:hangingChars="118"/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935355</wp:posOffset>
                </wp:positionH>
                <wp:positionV relativeFrom="paragraph">
                  <wp:posOffset>368300</wp:posOffset>
                </wp:positionV>
                <wp:extent cx="5697855" cy="4330700"/>
                <wp:effectExtent l="0" t="0" r="0" b="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7855" cy="4330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5"/>
                              <w:tblW w:w="0" w:type="auto"/>
                              <w:tblInd w:w="5" w:type="dxa"/>
                              <w:tblBorders>
                                <w:top w:val="single" w:color="auto" w:sz="4" w:space="0"/>
                                <w:left w:val="single" w:color="auto" w:sz="4" w:space="0"/>
                                <w:bottom w:val="single" w:color="auto" w:sz="4" w:space="0"/>
                                <w:right w:val="single" w:color="auto" w:sz="4" w:space="0"/>
                                <w:insideH w:val="single" w:color="000000" w:sz="4" w:space="0"/>
                                <w:insideV w:val="single" w:color="000000" w:sz="4" w:space="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</w:tblPr>
                            <w:tblGrid>
                              <w:gridCol w:w="716"/>
                              <w:gridCol w:w="2072"/>
                              <w:gridCol w:w="5936"/>
                            </w:tblGrid>
                            <w:tr w14:paraId="49B4B550"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817" w:hRule="atLeast"/>
                              </w:trPr>
                              <w:tc>
                                <w:tcPr>
                                  <w:tcW w:w="716" w:type="dxa"/>
                                  <w:noWrap w:val="0"/>
                                  <w:vAlign w:val="center"/>
                                </w:tcPr>
                                <w:p w14:paraId="22C1E4A6">
                                  <w:pPr>
                                    <w:pStyle w:val="7"/>
                                    <w:ind w:left="10"/>
                                    <w:jc w:val="center"/>
                                    <w:rPr>
                                      <w:rFonts w:hint="eastAsia" w:eastAsia="宋体"/>
                                      <w:sz w:val="24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4"/>
                                      <w:lang w:val="en-US" w:eastAsia="zh-CN"/>
                                    </w:rPr>
                                    <w:t>序号</w:t>
                                  </w:r>
                                </w:p>
                              </w:tc>
                              <w:tc>
                                <w:tcPr>
                                  <w:tcW w:w="2072" w:type="dxa"/>
                                  <w:noWrap w:val="0"/>
                                  <w:vAlign w:val="center"/>
                                </w:tcPr>
                                <w:p w14:paraId="2296DC1C">
                                  <w:pPr>
                                    <w:pStyle w:val="7"/>
                                    <w:spacing w:line="242" w:lineRule="auto"/>
                                    <w:ind w:left="107" w:right="96"/>
                                    <w:jc w:val="center"/>
                                    <w:rPr>
                                      <w:rFonts w:hint="eastAsia" w:eastAsia="宋体"/>
                                      <w:sz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4"/>
                                      <w:lang w:val="en-US" w:eastAsia="zh-CN"/>
                                    </w:rPr>
                                    <w:t>货物名称</w:t>
                                  </w:r>
                                </w:p>
                              </w:tc>
                              <w:tc>
                                <w:tcPr>
                                  <w:tcW w:w="5936" w:type="dxa"/>
                                  <w:noWrap w:val="0"/>
                                  <w:vAlign w:val="center"/>
                                </w:tcPr>
                                <w:p w14:paraId="509D1FD6">
                                  <w:pPr>
                                    <w:pStyle w:val="7"/>
                                    <w:spacing w:before="2" w:line="310" w:lineRule="atLeast"/>
                                    <w:ind w:left="106" w:right="303"/>
                                    <w:jc w:val="center"/>
                                    <w:rPr>
                                      <w:rFonts w:hint="eastAsia" w:eastAsia="宋体"/>
                                      <w:sz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4"/>
                                      <w:lang w:val="en-US" w:eastAsia="zh-CN"/>
                                    </w:rPr>
                                    <w:t>技术参数</w:t>
                                  </w:r>
                                </w:p>
                              </w:tc>
                            </w:tr>
                            <w:tr w14:paraId="5CC3579A"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817" w:hRule="atLeast"/>
                              </w:trPr>
                              <w:tc>
                                <w:tcPr>
                                  <w:tcW w:w="716" w:type="dxa"/>
                                  <w:noWrap w:val="0"/>
                                  <w:vAlign w:val="center"/>
                                </w:tcPr>
                                <w:p w14:paraId="3D423CE7">
                                  <w:pPr>
                                    <w:pStyle w:val="7"/>
                                    <w:ind w:left="10"/>
                                    <w:jc w:val="center"/>
                                    <w:rPr>
                                      <w:rFonts w:hint="eastAsia" w:eastAsia="宋体"/>
                                      <w:sz w:val="24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4"/>
                                      <w:lang w:val="en-US" w:eastAsia="zh-CN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072" w:type="dxa"/>
                                  <w:noWrap w:val="0"/>
                                  <w:vAlign w:val="center"/>
                                </w:tcPr>
                                <w:p w14:paraId="3E06757D">
                                  <w:pPr>
                                    <w:pStyle w:val="7"/>
                                    <w:spacing w:line="242" w:lineRule="auto"/>
                                    <w:ind w:left="107" w:right="96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36" w:type="dxa"/>
                                  <w:noWrap w:val="0"/>
                                  <w:vAlign w:val="center"/>
                                </w:tcPr>
                                <w:p w14:paraId="529B044E">
                                  <w:pPr>
                                    <w:pStyle w:val="7"/>
                                    <w:spacing w:line="310" w:lineRule="atLeast"/>
                                    <w:ind w:left="106" w:right="783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14:paraId="635DD358"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817" w:hRule="atLeast"/>
                              </w:trPr>
                              <w:tc>
                                <w:tcPr>
                                  <w:tcW w:w="716" w:type="dxa"/>
                                  <w:shd w:val="clear"/>
                                  <w:noWrap w:val="0"/>
                                  <w:vAlign w:val="center"/>
                                </w:tcPr>
                                <w:p w14:paraId="39768090">
                                  <w:pPr>
                                    <w:pStyle w:val="7"/>
                                    <w:ind w:left="10" w:leftChars="0"/>
                                    <w:jc w:val="center"/>
                                    <w:rPr>
                                      <w:rFonts w:ascii="宋体" w:hAnsi="宋体" w:eastAsia="宋体" w:cs="宋体"/>
                                      <w:sz w:val="24"/>
                                      <w:lang w:val="zh-CN" w:eastAsia="zh-CN" w:bidi="zh-CN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072" w:type="dxa"/>
                                  <w:noWrap w:val="0"/>
                                  <w:vAlign w:val="center"/>
                                </w:tcPr>
                                <w:p w14:paraId="00A61189">
                                  <w:pPr>
                                    <w:pStyle w:val="7"/>
                                    <w:spacing w:line="242" w:lineRule="auto"/>
                                    <w:ind w:left="107" w:right="96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36" w:type="dxa"/>
                                  <w:noWrap w:val="0"/>
                                  <w:vAlign w:val="center"/>
                                </w:tcPr>
                                <w:p w14:paraId="12B78F4E">
                                  <w:pPr>
                                    <w:pStyle w:val="7"/>
                                    <w:spacing w:before="5" w:line="289" w:lineRule="exact"/>
                                    <w:ind w:left="106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14:paraId="5EF2918F"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817" w:hRule="atLeast"/>
                              </w:trPr>
                              <w:tc>
                                <w:tcPr>
                                  <w:tcW w:w="716" w:type="dxa"/>
                                  <w:shd w:val="clear"/>
                                  <w:noWrap w:val="0"/>
                                  <w:vAlign w:val="center"/>
                                </w:tcPr>
                                <w:p w14:paraId="3D1736AE">
                                  <w:pPr>
                                    <w:pStyle w:val="7"/>
                                    <w:spacing w:before="139"/>
                                    <w:ind w:left="10" w:leftChars="0"/>
                                    <w:jc w:val="center"/>
                                    <w:rPr>
                                      <w:rFonts w:hint="eastAsia" w:ascii="宋体" w:hAnsi="宋体" w:eastAsia="宋体" w:cs="宋体"/>
                                      <w:sz w:val="24"/>
                                      <w:lang w:val="en-US" w:eastAsia="zh-CN" w:bidi="zh-CN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072" w:type="dxa"/>
                                  <w:noWrap w:val="0"/>
                                  <w:vAlign w:val="top"/>
                                </w:tcPr>
                                <w:p w14:paraId="2FC4C2CD">
                                  <w:pPr>
                                    <w:pStyle w:val="7"/>
                                    <w:spacing w:before="136"/>
                                    <w:ind w:left="107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36" w:type="dxa"/>
                                  <w:noWrap w:val="0"/>
                                  <w:vAlign w:val="top"/>
                                </w:tcPr>
                                <w:p w14:paraId="66ADDAC5">
                                  <w:pPr>
                                    <w:pStyle w:val="7"/>
                                    <w:spacing w:before="1"/>
                                    <w:ind w:left="106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14:paraId="458E01FF"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817" w:hRule="atLeast"/>
                              </w:trPr>
                              <w:tc>
                                <w:tcPr>
                                  <w:tcW w:w="716" w:type="dxa"/>
                                  <w:shd w:val="clear"/>
                                  <w:noWrap w:val="0"/>
                                  <w:vAlign w:val="top"/>
                                </w:tcPr>
                                <w:p w14:paraId="5EE4738C">
                                  <w:pPr>
                                    <w:pStyle w:val="7"/>
                                    <w:spacing w:before="119"/>
                                    <w:ind w:left="20" w:leftChars="0"/>
                                    <w:jc w:val="center"/>
                                    <w:rPr>
                                      <w:rFonts w:hint="eastAsia" w:ascii="新宋体" w:hAnsi="宋体" w:eastAsia="宋体" w:cs="宋体"/>
                                      <w:sz w:val="24"/>
                                      <w:lang w:val="en-US" w:eastAsia="zh-CN" w:bidi="zh-CN"/>
                                    </w:rPr>
                                  </w:pPr>
                                  <w:r>
                                    <w:rPr>
                                      <w:rFonts w:hint="eastAsia" w:ascii="新宋体"/>
                                      <w:sz w:val="24"/>
                                      <w:lang w:val="en-US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072" w:type="dxa"/>
                                  <w:noWrap w:val="0"/>
                                  <w:vAlign w:val="top"/>
                                </w:tcPr>
                                <w:p w14:paraId="66087F24">
                                  <w:pPr>
                                    <w:pStyle w:val="7"/>
                                    <w:spacing w:before="136"/>
                                    <w:ind w:left="107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36" w:type="dxa"/>
                                  <w:noWrap w:val="0"/>
                                  <w:vAlign w:val="top"/>
                                </w:tcPr>
                                <w:p w14:paraId="6CEEAEB9">
                                  <w:pPr>
                                    <w:pStyle w:val="7"/>
                                    <w:spacing w:before="1"/>
                                    <w:ind w:left="106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14:paraId="48F835E5"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826" w:hRule="atLeast"/>
                              </w:trPr>
                              <w:tc>
                                <w:tcPr>
                                  <w:tcW w:w="716" w:type="dxa"/>
                                  <w:shd w:val="clear"/>
                                  <w:noWrap w:val="0"/>
                                  <w:vAlign w:val="top"/>
                                </w:tcPr>
                                <w:p w14:paraId="093CDB50">
                                  <w:pPr>
                                    <w:pStyle w:val="7"/>
                                    <w:spacing w:before="119"/>
                                    <w:ind w:left="20" w:leftChars="0"/>
                                    <w:jc w:val="center"/>
                                    <w:rPr>
                                      <w:rFonts w:hint="eastAsia" w:ascii="新宋体" w:hAnsi="宋体" w:eastAsia="宋体" w:cs="宋体"/>
                                      <w:sz w:val="24"/>
                                      <w:lang w:val="en-US" w:eastAsia="zh-CN" w:bidi="zh-CN"/>
                                    </w:rPr>
                                  </w:pPr>
                                  <w:r>
                                    <w:rPr>
                                      <w:rFonts w:hint="eastAsia" w:ascii="新宋体"/>
                                      <w:sz w:val="24"/>
                                      <w:lang w:val="en-US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072" w:type="dxa"/>
                                  <w:noWrap w:val="0"/>
                                  <w:vAlign w:val="top"/>
                                </w:tcPr>
                                <w:p w14:paraId="5E4DC59C">
                                  <w:pPr>
                                    <w:pStyle w:val="7"/>
                                    <w:spacing w:before="136"/>
                                    <w:ind w:left="107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36" w:type="dxa"/>
                                  <w:noWrap w:val="0"/>
                                  <w:vAlign w:val="top"/>
                                </w:tcPr>
                                <w:p w14:paraId="38A15CE1">
                                  <w:pPr>
                                    <w:pStyle w:val="7"/>
                                    <w:spacing w:before="1"/>
                                    <w:ind w:left="106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14:paraId="5305582B"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835" w:hRule="atLeast"/>
                              </w:trPr>
                              <w:tc>
                                <w:tcPr>
                                  <w:tcW w:w="716" w:type="dxa"/>
                                  <w:shd w:val="clear"/>
                                  <w:noWrap w:val="0"/>
                                  <w:vAlign w:val="top"/>
                                </w:tcPr>
                                <w:p w14:paraId="7FC2458A">
                                  <w:pPr>
                                    <w:pStyle w:val="7"/>
                                    <w:spacing w:before="119"/>
                                    <w:ind w:left="20" w:leftChars="0"/>
                                    <w:jc w:val="center"/>
                                    <w:rPr>
                                      <w:rFonts w:hint="eastAsia" w:ascii="新宋体" w:hAnsi="宋体" w:eastAsia="宋体" w:cs="宋体"/>
                                      <w:sz w:val="24"/>
                                      <w:lang w:val="en-US" w:eastAsia="zh-CN" w:bidi="zh-CN"/>
                                    </w:rPr>
                                  </w:pPr>
                                  <w:r>
                                    <w:rPr>
                                      <w:rFonts w:hint="eastAsia" w:ascii="新宋体"/>
                                      <w:sz w:val="24"/>
                                      <w:lang w:val="en-US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072" w:type="dxa"/>
                                  <w:noWrap w:val="0"/>
                                  <w:vAlign w:val="top"/>
                                </w:tcPr>
                                <w:p w14:paraId="5C555639">
                                  <w:pPr>
                                    <w:pStyle w:val="7"/>
                                    <w:spacing w:before="136"/>
                                    <w:ind w:left="107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36" w:type="dxa"/>
                                  <w:noWrap w:val="0"/>
                                  <w:vAlign w:val="top"/>
                                </w:tcPr>
                                <w:p w14:paraId="1BAD5284">
                                  <w:pPr>
                                    <w:pStyle w:val="7"/>
                                    <w:spacing w:before="1"/>
                                    <w:ind w:left="106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3922B65">
                            <w:pPr>
                              <w:pStyle w:val="4"/>
                            </w:pPr>
                          </w:p>
                          <w:p w14:paraId="684FB9B6">
                            <w:pPr>
                              <w:pStyle w:val="4"/>
                            </w:pPr>
                          </w:p>
                          <w:p w14:paraId="5EC0649D">
                            <w:pPr>
                              <w:pStyle w:val="4"/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3.65pt;margin-top:29pt;height:341pt;width:448.65pt;mso-position-horizontal-relative:page;z-index:251659264;mso-width-relative:page;mso-height-relative:page;" filled="f" stroked="f" coordsize="21600,21600" o:gfxdata="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mgBFK2QAAAAsBAAAPAAAAAAAAAAEAIAAAACIAAABkcnMvZG93bnJldi54bWxQ&#10;SwECFAAUAAAACACHTuJAQh0Ch70BAABzAwAADgAAAAAAAAABACAAAAAo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tbl>
                      <w:tblPr>
                        <w:tblStyle w:val="5"/>
                        <w:tblW w:w="0" w:type="auto"/>
                        <w:tblInd w:w="5" w:type="dxa"/>
                        <w:tbl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  <w:insideH w:val="single" w:color="000000" w:sz="4" w:space="0"/>
                          <w:insideV w:val="single" w:color="000000" w:sz="4" w:space="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</w:tblPr>
                      <w:tblGrid>
                        <w:gridCol w:w="716"/>
                        <w:gridCol w:w="2072"/>
                        <w:gridCol w:w="5936"/>
                      </w:tblGrid>
                      <w:tr w14:paraId="49B4B550">
                        <w:tblPrEx>
                          <w:tblBorders>
                            <w:top w:val="single" w:color="auto" w:sz="4" w:space="0"/>
                            <w:left w:val="single" w:color="auto" w:sz="4" w:space="0"/>
                            <w:bottom w:val="single" w:color="auto" w:sz="4" w:space="0"/>
                            <w:right w:val="single" w:color="auto" w:sz="4" w:space="0"/>
                            <w:insideH w:val="single" w:color="000000" w:sz="4" w:space="0"/>
                            <w:insideV w:val="single" w:color="000000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817" w:hRule="atLeast"/>
                        </w:trPr>
                        <w:tc>
                          <w:tcPr>
                            <w:tcW w:w="716" w:type="dxa"/>
                            <w:noWrap w:val="0"/>
                            <w:vAlign w:val="center"/>
                          </w:tcPr>
                          <w:p w14:paraId="22C1E4A6">
                            <w:pPr>
                              <w:pStyle w:val="7"/>
                              <w:ind w:left="10"/>
                              <w:jc w:val="center"/>
                              <w:rPr>
                                <w:rFonts w:hint="eastAsia" w:eastAsia="宋体"/>
                                <w:sz w:val="24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lang w:val="en-US" w:eastAsia="zh-CN"/>
                              </w:rPr>
                              <w:t>序号</w:t>
                            </w:r>
                          </w:p>
                        </w:tc>
                        <w:tc>
                          <w:tcPr>
                            <w:tcW w:w="2072" w:type="dxa"/>
                            <w:noWrap w:val="0"/>
                            <w:vAlign w:val="center"/>
                          </w:tcPr>
                          <w:p w14:paraId="2296DC1C">
                            <w:pPr>
                              <w:pStyle w:val="7"/>
                              <w:spacing w:line="242" w:lineRule="auto"/>
                              <w:ind w:left="107" w:right="96"/>
                              <w:jc w:val="center"/>
                              <w:rPr>
                                <w:rFonts w:hint="eastAsia" w:eastAsia="宋体"/>
                                <w:sz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lang w:val="en-US" w:eastAsia="zh-CN"/>
                              </w:rPr>
                              <w:t>货物名称</w:t>
                            </w:r>
                          </w:p>
                        </w:tc>
                        <w:tc>
                          <w:tcPr>
                            <w:tcW w:w="5936" w:type="dxa"/>
                            <w:noWrap w:val="0"/>
                            <w:vAlign w:val="center"/>
                          </w:tcPr>
                          <w:p w14:paraId="509D1FD6">
                            <w:pPr>
                              <w:pStyle w:val="7"/>
                              <w:spacing w:before="2" w:line="310" w:lineRule="atLeast"/>
                              <w:ind w:left="106" w:right="303"/>
                              <w:jc w:val="center"/>
                              <w:rPr>
                                <w:rFonts w:hint="eastAsia" w:eastAsia="宋体"/>
                                <w:sz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lang w:val="en-US" w:eastAsia="zh-CN"/>
                              </w:rPr>
                              <w:t>技术参数</w:t>
                            </w:r>
                          </w:p>
                        </w:tc>
                      </w:tr>
                      <w:tr w14:paraId="5CC3579A">
                        <w:tblPrEx>
                          <w:tblBorders>
                            <w:top w:val="single" w:color="auto" w:sz="4" w:space="0"/>
                            <w:left w:val="single" w:color="auto" w:sz="4" w:space="0"/>
                            <w:bottom w:val="single" w:color="auto" w:sz="4" w:space="0"/>
                            <w:right w:val="single" w:color="auto" w:sz="4" w:space="0"/>
                            <w:insideH w:val="single" w:color="000000" w:sz="4" w:space="0"/>
                            <w:insideV w:val="single" w:color="000000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817" w:hRule="atLeast"/>
                        </w:trPr>
                        <w:tc>
                          <w:tcPr>
                            <w:tcW w:w="716" w:type="dxa"/>
                            <w:noWrap w:val="0"/>
                            <w:vAlign w:val="center"/>
                          </w:tcPr>
                          <w:p w14:paraId="3D423CE7">
                            <w:pPr>
                              <w:pStyle w:val="7"/>
                              <w:ind w:left="10"/>
                              <w:jc w:val="center"/>
                              <w:rPr>
                                <w:rFonts w:hint="eastAsia" w:eastAsia="宋体"/>
                                <w:sz w:val="24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lang w:val="en-US" w:eastAsia="zh-CN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072" w:type="dxa"/>
                            <w:noWrap w:val="0"/>
                            <w:vAlign w:val="center"/>
                          </w:tcPr>
                          <w:p w14:paraId="3E06757D">
                            <w:pPr>
                              <w:pStyle w:val="7"/>
                              <w:spacing w:line="242" w:lineRule="auto"/>
                              <w:ind w:left="107" w:right="96"/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5936" w:type="dxa"/>
                            <w:noWrap w:val="0"/>
                            <w:vAlign w:val="center"/>
                          </w:tcPr>
                          <w:p w14:paraId="529B044E">
                            <w:pPr>
                              <w:pStyle w:val="7"/>
                              <w:spacing w:line="310" w:lineRule="atLeast"/>
                              <w:ind w:left="106" w:right="783"/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14:paraId="635DD358">
                        <w:tblPrEx>
                          <w:tblBorders>
                            <w:top w:val="single" w:color="auto" w:sz="4" w:space="0"/>
                            <w:left w:val="single" w:color="auto" w:sz="4" w:space="0"/>
                            <w:bottom w:val="single" w:color="auto" w:sz="4" w:space="0"/>
                            <w:right w:val="single" w:color="auto" w:sz="4" w:space="0"/>
                            <w:insideH w:val="single" w:color="000000" w:sz="4" w:space="0"/>
                            <w:insideV w:val="single" w:color="000000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817" w:hRule="atLeast"/>
                        </w:trPr>
                        <w:tc>
                          <w:tcPr>
                            <w:tcW w:w="716" w:type="dxa"/>
                            <w:shd w:val="clear"/>
                            <w:noWrap w:val="0"/>
                            <w:vAlign w:val="center"/>
                          </w:tcPr>
                          <w:p w14:paraId="39768090">
                            <w:pPr>
                              <w:pStyle w:val="7"/>
                              <w:ind w:left="10" w:leftChars="0"/>
                              <w:jc w:val="center"/>
                              <w:rPr>
                                <w:rFonts w:ascii="宋体" w:hAnsi="宋体" w:eastAsia="宋体" w:cs="宋体"/>
                                <w:sz w:val="24"/>
                                <w:lang w:val="zh-CN" w:eastAsia="zh-CN" w:bidi="zh-CN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072" w:type="dxa"/>
                            <w:noWrap w:val="0"/>
                            <w:vAlign w:val="center"/>
                          </w:tcPr>
                          <w:p w14:paraId="00A61189">
                            <w:pPr>
                              <w:pStyle w:val="7"/>
                              <w:spacing w:line="242" w:lineRule="auto"/>
                              <w:ind w:left="107" w:right="96"/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5936" w:type="dxa"/>
                            <w:noWrap w:val="0"/>
                            <w:vAlign w:val="center"/>
                          </w:tcPr>
                          <w:p w14:paraId="12B78F4E">
                            <w:pPr>
                              <w:pStyle w:val="7"/>
                              <w:spacing w:before="5" w:line="289" w:lineRule="exact"/>
                              <w:ind w:left="106"/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14:paraId="5EF2918F">
                        <w:tblPrEx>
                          <w:tblBorders>
                            <w:top w:val="single" w:color="auto" w:sz="4" w:space="0"/>
                            <w:left w:val="single" w:color="auto" w:sz="4" w:space="0"/>
                            <w:bottom w:val="single" w:color="auto" w:sz="4" w:space="0"/>
                            <w:right w:val="single" w:color="auto" w:sz="4" w:space="0"/>
                            <w:insideH w:val="single" w:color="000000" w:sz="4" w:space="0"/>
                            <w:insideV w:val="single" w:color="000000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817" w:hRule="atLeast"/>
                        </w:trPr>
                        <w:tc>
                          <w:tcPr>
                            <w:tcW w:w="716" w:type="dxa"/>
                            <w:shd w:val="clear"/>
                            <w:noWrap w:val="0"/>
                            <w:vAlign w:val="center"/>
                          </w:tcPr>
                          <w:p w14:paraId="3D1736AE">
                            <w:pPr>
                              <w:pStyle w:val="7"/>
                              <w:spacing w:before="139"/>
                              <w:ind w:left="10" w:leftChars="0"/>
                              <w:jc w:val="center"/>
                              <w:rPr>
                                <w:rFonts w:hint="eastAsia" w:ascii="宋体" w:hAnsi="宋体" w:eastAsia="宋体" w:cs="宋体"/>
                                <w:sz w:val="24"/>
                                <w:lang w:val="en-US" w:eastAsia="zh-CN" w:bidi="zh-CN"/>
                              </w:rPr>
                            </w:pPr>
                            <w:r>
                              <w:rPr>
                                <w:sz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072" w:type="dxa"/>
                            <w:noWrap w:val="0"/>
                            <w:vAlign w:val="top"/>
                          </w:tcPr>
                          <w:p w14:paraId="2FC4C2CD">
                            <w:pPr>
                              <w:pStyle w:val="7"/>
                              <w:spacing w:before="136"/>
                              <w:ind w:left="107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5936" w:type="dxa"/>
                            <w:noWrap w:val="0"/>
                            <w:vAlign w:val="top"/>
                          </w:tcPr>
                          <w:p w14:paraId="66ADDAC5">
                            <w:pPr>
                              <w:pStyle w:val="7"/>
                              <w:spacing w:before="1"/>
                              <w:ind w:left="106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14:paraId="458E01FF">
                        <w:tblPrEx>
                          <w:tblBorders>
                            <w:top w:val="single" w:color="auto" w:sz="4" w:space="0"/>
                            <w:left w:val="single" w:color="auto" w:sz="4" w:space="0"/>
                            <w:bottom w:val="single" w:color="auto" w:sz="4" w:space="0"/>
                            <w:right w:val="single" w:color="auto" w:sz="4" w:space="0"/>
                            <w:insideH w:val="single" w:color="000000" w:sz="4" w:space="0"/>
                            <w:insideV w:val="single" w:color="000000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817" w:hRule="atLeast"/>
                        </w:trPr>
                        <w:tc>
                          <w:tcPr>
                            <w:tcW w:w="716" w:type="dxa"/>
                            <w:shd w:val="clear"/>
                            <w:noWrap w:val="0"/>
                            <w:vAlign w:val="top"/>
                          </w:tcPr>
                          <w:p w14:paraId="5EE4738C">
                            <w:pPr>
                              <w:pStyle w:val="7"/>
                              <w:spacing w:before="119"/>
                              <w:ind w:left="20" w:leftChars="0"/>
                              <w:jc w:val="center"/>
                              <w:rPr>
                                <w:rFonts w:hint="eastAsia" w:ascii="新宋体" w:hAnsi="宋体" w:eastAsia="宋体" w:cs="宋体"/>
                                <w:sz w:val="24"/>
                                <w:lang w:val="en-US" w:eastAsia="zh-CN" w:bidi="zh-CN"/>
                              </w:rPr>
                            </w:pPr>
                            <w:r>
                              <w:rPr>
                                <w:rFonts w:hint="eastAsia" w:ascii="新宋体"/>
                                <w:sz w:val="24"/>
                                <w:lang w:val="en-US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072" w:type="dxa"/>
                            <w:noWrap w:val="0"/>
                            <w:vAlign w:val="top"/>
                          </w:tcPr>
                          <w:p w14:paraId="66087F24">
                            <w:pPr>
                              <w:pStyle w:val="7"/>
                              <w:spacing w:before="136"/>
                              <w:ind w:left="107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5936" w:type="dxa"/>
                            <w:noWrap w:val="0"/>
                            <w:vAlign w:val="top"/>
                          </w:tcPr>
                          <w:p w14:paraId="6CEEAEB9">
                            <w:pPr>
                              <w:pStyle w:val="7"/>
                              <w:spacing w:before="1"/>
                              <w:ind w:left="106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14:paraId="48F835E5">
                        <w:tblPrEx>
                          <w:tblBorders>
                            <w:top w:val="single" w:color="auto" w:sz="4" w:space="0"/>
                            <w:left w:val="single" w:color="auto" w:sz="4" w:space="0"/>
                            <w:bottom w:val="single" w:color="auto" w:sz="4" w:space="0"/>
                            <w:right w:val="single" w:color="auto" w:sz="4" w:space="0"/>
                            <w:insideH w:val="single" w:color="000000" w:sz="4" w:space="0"/>
                            <w:insideV w:val="single" w:color="000000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826" w:hRule="atLeast"/>
                        </w:trPr>
                        <w:tc>
                          <w:tcPr>
                            <w:tcW w:w="716" w:type="dxa"/>
                            <w:shd w:val="clear"/>
                            <w:noWrap w:val="0"/>
                            <w:vAlign w:val="top"/>
                          </w:tcPr>
                          <w:p w14:paraId="093CDB50">
                            <w:pPr>
                              <w:pStyle w:val="7"/>
                              <w:spacing w:before="119"/>
                              <w:ind w:left="20" w:leftChars="0"/>
                              <w:jc w:val="center"/>
                              <w:rPr>
                                <w:rFonts w:hint="eastAsia" w:ascii="新宋体" w:hAnsi="宋体" w:eastAsia="宋体" w:cs="宋体"/>
                                <w:sz w:val="24"/>
                                <w:lang w:val="en-US" w:eastAsia="zh-CN" w:bidi="zh-CN"/>
                              </w:rPr>
                            </w:pPr>
                            <w:r>
                              <w:rPr>
                                <w:rFonts w:hint="eastAsia" w:ascii="新宋体"/>
                                <w:sz w:val="24"/>
                                <w:lang w:val="en-US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072" w:type="dxa"/>
                            <w:noWrap w:val="0"/>
                            <w:vAlign w:val="top"/>
                          </w:tcPr>
                          <w:p w14:paraId="5E4DC59C">
                            <w:pPr>
                              <w:pStyle w:val="7"/>
                              <w:spacing w:before="136"/>
                              <w:ind w:left="107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5936" w:type="dxa"/>
                            <w:noWrap w:val="0"/>
                            <w:vAlign w:val="top"/>
                          </w:tcPr>
                          <w:p w14:paraId="38A15CE1">
                            <w:pPr>
                              <w:pStyle w:val="7"/>
                              <w:spacing w:before="1"/>
                              <w:ind w:left="106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14:paraId="5305582B">
                        <w:tblPrEx>
                          <w:tblBorders>
                            <w:top w:val="single" w:color="auto" w:sz="4" w:space="0"/>
                            <w:left w:val="single" w:color="auto" w:sz="4" w:space="0"/>
                            <w:bottom w:val="single" w:color="auto" w:sz="4" w:space="0"/>
                            <w:right w:val="single" w:color="auto" w:sz="4" w:space="0"/>
                            <w:insideH w:val="single" w:color="000000" w:sz="4" w:space="0"/>
                            <w:insideV w:val="single" w:color="000000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835" w:hRule="atLeast"/>
                        </w:trPr>
                        <w:tc>
                          <w:tcPr>
                            <w:tcW w:w="716" w:type="dxa"/>
                            <w:shd w:val="clear"/>
                            <w:noWrap w:val="0"/>
                            <w:vAlign w:val="top"/>
                          </w:tcPr>
                          <w:p w14:paraId="7FC2458A">
                            <w:pPr>
                              <w:pStyle w:val="7"/>
                              <w:spacing w:before="119"/>
                              <w:ind w:left="20" w:leftChars="0"/>
                              <w:jc w:val="center"/>
                              <w:rPr>
                                <w:rFonts w:hint="eastAsia" w:ascii="新宋体" w:hAnsi="宋体" w:eastAsia="宋体" w:cs="宋体"/>
                                <w:sz w:val="24"/>
                                <w:lang w:val="en-US" w:eastAsia="zh-CN" w:bidi="zh-CN"/>
                              </w:rPr>
                            </w:pPr>
                            <w:r>
                              <w:rPr>
                                <w:rFonts w:hint="eastAsia" w:ascii="新宋体"/>
                                <w:sz w:val="24"/>
                                <w:lang w:val="en-US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072" w:type="dxa"/>
                            <w:noWrap w:val="0"/>
                            <w:vAlign w:val="top"/>
                          </w:tcPr>
                          <w:p w14:paraId="5C555639">
                            <w:pPr>
                              <w:pStyle w:val="7"/>
                              <w:spacing w:before="136"/>
                              <w:ind w:left="107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5936" w:type="dxa"/>
                            <w:noWrap w:val="0"/>
                            <w:vAlign w:val="top"/>
                          </w:tcPr>
                          <w:p w14:paraId="1BAD5284">
                            <w:pPr>
                              <w:pStyle w:val="7"/>
                              <w:spacing w:before="1"/>
                              <w:ind w:left="106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14:paraId="43922B65">
                      <w:pPr>
                        <w:pStyle w:val="4"/>
                      </w:pPr>
                    </w:p>
                    <w:p w14:paraId="684FB9B6">
                      <w:pPr>
                        <w:pStyle w:val="4"/>
                      </w:pPr>
                    </w:p>
                    <w:p w14:paraId="5EC0649D">
                      <w:pPr>
                        <w:pStyle w:val="4"/>
                      </w:pPr>
                    </w:p>
                  </w:txbxContent>
                </v:textbox>
              </v:shape>
            </w:pict>
          </mc:Fallback>
        </mc:AlternateContent>
      </w:r>
      <w:r>
        <w:t>投标人名称（公章）：</w:t>
      </w:r>
      <w:r>
        <w:rPr>
          <w:rFonts w:hint="eastAsia"/>
        </w:rPr>
        <w:t xml:space="preserve">             </w:t>
      </w:r>
      <w:r>
        <w:t>项目编号：</w:t>
      </w:r>
    </w:p>
    <w:p w14:paraId="7C1C055B">
      <w:pPr>
        <w:pStyle w:val="4"/>
      </w:pPr>
    </w:p>
    <w:p w14:paraId="404EC3D2">
      <w:pPr>
        <w:pStyle w:val="4"/>
        <w:spacing w:before="2"/>
        <w:rPr>
          <w:sz w:val="30"/>
        </w:rPr>
      </w:pPr>
    </w:p>
    <w:p w14:paraId="69000662">
      <w:pPr>
        <w:pStyle w:val="4"/>
        <w:spacing w:before="1"/>
        <w:ind w:right="218"/>
        <w:jc w:val="right"/>
      </w:pPr>
    </w:p>
    <w:p w14:paraId="047DFD57">
      <w:pPr>
        <w:pStyle w:val="4"/>
      </w:pPr>
    </w:p>
    <w:p w14:paraId="6759DB97">
      <w:pPr>
        <w:pStyle w:val="4"/>
      </w:pPr>
    </w:p>
    <w:p w14:paraId="362DC509">
      <w:pPr>
        <w:pStyle w:val="4"/>
      </w:pPr>
    </w:p>
    <w:p w14:paraId="3A81B088">
      <w:pPr>
        <w:pStyle w:val="4"/>
      </w:pPr>
    </w:p>
    <w:p w14:paraId="285671B0">
      <w:pPr>
        <w:pStyle w:val="4"/>
      </w:pPr>
    </w:p>
    <w:p w14:paraId="7EFE0D31">
      <w:pPr>
        <w:pStyle w:val="4"/>
      </w:pPr>
    </w:p>
    <w:p w14:paraId="28E3D3CD">
      <w:pPr>
        <w:pStyle w:val="4"/>
      </w:pPr>
    </w:p>
    <w:p w14:paraId="3369A370">
      <w:pPr>
        <w:pStyle w:val="4"/>
      </w:pPr>
    </w:p>
    <w:p w14:paraId="7C125C2D">
      <w:pPr>
        <w:pStyle w:val="4"/>
      </w:pPr>
    </w:p>
    <w:p w14:paraId="077E0F17">
      <w:pPr>
        <w:pStyle w:val="4"/>
      </w:pPr>
    </w:p>
    <w:p w14:paraId="74949B85">
      <w:pPr>
        <w:pStyle w:val="4"/>
      </w:pPr>
    </w:p>
    <w:p w14:paraId="638CF5FB">
      <w:pPr>
        <w:pStyle w:val="4"/>
      </w:pPr>
    </w:p>
    <w:p w14:paraId="38658910">
      <w:pPr>
        <w:pStyle w:val="4"/>
      </w:pPr>
    </w:p>
    <w:p w14:paraId="4A4DE92D">
      <w:pPr>
        <w:pStyle w:val="4"/>
      </w:pPr>
    </w:p>
    <w:p w14:paraId="7E35396B">
      <w:pPr>
        <w:pStyle w:val="4"/>
      </w:pPr>
    </w:p>
    <w:p w14:paraId="616603DE">
      <w:pPr>
        <w:pStyle w:val="4"/>
      </w:pPr>
    </w:p>
    <w:p w14:paraId="48CCC43B">
      <w:pPr>
        <w:pStyle w:val="4"/>
      </w:pPr>
    </w:p>
    <w:p w14:paraId="61613518">
      <w:pPr>
        <w:pStyle w:val="4"/>
      </w:pPr>
    </w:p>
    <w:p w14:paraId="67FB57E7">
      <w:pPr>
        <w:pStyle w:val="4"/>
      </w:pPr>
    </w:p>
    <w:p w14:paraId="6371F20B">
      <w:pPr>
        <w:pStyle w:val="4"/>
      </w:pPr>
    </w:p>
    <w:p w14:paraId="430C071E">
      <w:pPr>
        <w:pStyle w:val="4"/>
      </w:pPr>
    </w:p>
    <w:p w14:paraId="4D9772EF">
      <w:pPr>
        <w:pStyle w:val="4"/>
      </w:pPr>
    </w:p>
    <w:p w14:paraId="69A82D5D"/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multilevel"/>
    <w:tmpl w:val="CF092B84"/>
    <w:lvl w:ilvl="0" w:tentative="0">
      <w:start w:val="1"/>
      <w:numFmt w:val="decimal"/>
      <w:lvlText w:val="%1."/>
      <w:lvlJc w:val="left"/>
      <w:pPr>
        <w:ind w:left="400" w:hanging="360"/>
      </w:pPr>
      <w:rPr>
        <w:rFonts w:hint="default" w:ascii="宋体" w:hAnsi="宋体" w:eastAsia="宋体" w:cs="宋体"/>
        <w:spacing w:val="-46"/>
        <w:w w:val="100"/>
        <w:sz w:val="24"/>
        <w:szCs w:val="24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269" w:hanging="360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136" w:hanging="36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002" w:hanging="36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869" w:hanging="36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4736" w:hanging="36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602" w:hanging="36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469" w:hanging="36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335" w:hanging="360"/>
      </w:pPr>
      <w:rPr>
        <w:rFonts w:hint="default"/>
        <w:lang w:val="zh-CN" w:eastAsia="zh-CN" w:bidi="zh-CN"/>
      </w:rPr>
    </w:lvl>
  </w:abstractNum>
  <w:abstractNum w:abstractNumId="1">
    <w:nsid w:val="0053208E"/>
    <w:multiLevelType w:val="multilevel"/>
    <w:tmpl w:val="0053208E"/>
    <w:lvl w:ilvl="0" w:tentative="0">
      <w:start w:val="1"/>
      <w:numFmt w:val="decimal"/>
      <w:lvlText w:val="（%1）"/>
      <w:lvlJc w:val="left"/>
      <w:pPr>
        <w:ind w:left="1438" w:hanging="601"/>
      </w:pPr>
      <w:rPr>
        <w:rFonts w:hint="default" w:ascii="宋体" w:hAnsi="宋体" w:eastAsia="宋体" w:cs="宋体"/>
        <w:w w:val="100"/>
        <w:sz w:val="22"/>
        <w:szCs w:val="22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2198" w:hanging="6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957" w:hanging="6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715" w:hanging="6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474" w:hanging="6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233" w:hanging="6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991" w:hanging="6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750" w:hanging="6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508" w:hanging="601"/>
      </w:pPr>
      <w:rPr>
        <w:rFonts w:hint="default"/>
        <w:lang w:val="zh-CN" w:eastAsia="zh-CN" w:bidi="zh-C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cyNTE0ZDU2NmM2M2RhMWRiMGRkNTUzNWJkNTBhMzEifQ=="/>
  </w:docVars>
  <w:rsids>
    <w:rsidRoot w:val="324A599E"/>
    <w:rsid w:val="05B22DD5"/>
    <w:rsid w:val="324A599E"/>
    <w:rsid w:val="4A205F2C"/>
    <w:rsid w:val="65E51BB2"/>
    <w:rsid w:val="6B424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9"/>
    <w:pPr>
      <w:spacing w:before="1"/>
      <w:ind w:left="837"/>
      <w:outlineLvl w:val="1"/>
    </w:pPr>
    <w:rPr>
      <w:rFonts w:ascii="宋体" w:hAnsi="宋体" w:eastAsia="宋体" w:cs="宋体"/>
      <w:b/>
      <w:bCs/>
      <w:sz w:val="24"/>
      <w:szCs w:val="24"/>
      <w:lang w:val="zh-CN" w:eastAsia="zh-CN" w:bidi="zh-CN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unhideWhenUsed/>
    <w:qFormat/>
    <w:uiPriority w:val="99"/>
    <w:pPr>
      <w:spacing w:after="120"/>
    </w:pPr>
    <w:rPr>
      <w:rFonts w:ascii="Times New Roman" w:hAnsi="Times New Roman" w:cs="黑体"/>
      <w:szCs w:val="24"/>
    </w:rPr>
  </w:style>
  <w:style w:type="paragraph" w:customStyle="1" w:styleId="7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  <w:style w:type="paragraph" w:customStyle="1" w:styleId="8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3037</Words>
  <Characters>3049</Characters>
  <Lines>0</Lines>
  <Paragraphs>0</Paragraphs>
  <TotalTime>14</TotalTime>
  <ScaleCrop>false</ScaleCrop>
  <LinksUpToDate>false</LinksUpToDate>
  <CharactersWithSpaces>3253</CharactersWithSpaces>
  <Application>WPS Office_12.1.0.18240_F1E327BC-269C-435d-A152-05C5408002CA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2024-07-08T02:30:00Z</dcterms:created>
  <dc:creator>朱志刚</dc:creator>
  <cp:lastModifiedBy>朱志刚</cp:lastModifiedBy>
  <dcterms:modified xsi:type="dcterms:W3CDTF">2024-09-14T01:58:42Z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2052-12.1.0.18240</vt:lpwstr>
  </property>
  <property fmtid="{D5CDD505-2E9C-101B-9397-08002B2CF9AE}" pid="3" name="ICV">
    <vt:lpwstr>D9EAE80720CD4A0CA2720C7A2FAE86BC_13</vt:lpwstr>
  </property>
</Properties>
</file>