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51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888"/>
        <w:gridCol w:w="6553"/>
        <w:gridCol w:w="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 w:type="pct"/>
            <w:vAlign w:val="center"/>
          </w:tcPr>
          <w:p>
            <w:pPr>
              <w:autoSpaceDE w:val="0"/>
              <w:autoSpaceDN w:val="0"/>
              <w:adjustRightInd w:val="0"/>
              <w:snapToGrid w:val="0"/>
              <w:spacing w:line="240" w:lineRule="auto"/>
              <w:ind w:firstLine="0" w:firstLineChars="0"/>
              <w:jc w:val="center"/>
              <w:rPr>
                <w:rFonts w:ascii="仿宋" w:hAnsi="仿宋" w:cs="仿宋"/>
                <w:b/>
                <w:bCs/>
                <w:kern w:val="0"/>
                <w:szCs w:val="24"/>
              </w:rPr>
            </w:pPr>
            <w:r>
              <w:rPr>
                <w:rFonts w:hint="eastAsia" w:ascii="仿宋" w:hAnsi="仿宋" w:cs="仿宋"/>
                <w:b/>
                <w:bCs/>
                <w:kern w:val="0"/>
                <w:szCs w:val="24"/>
              </w:rPr>
              <w:t>评审</w:t>
            </w:r>
          </w:p>
          <w:p>
            <w:pPr>
              <w:autoSpaceDE w:val="0"/>
              <w:autoSpaceDN w:val="0"/>
              <w:adjustRightInd w:val="0"/>
              <w:snapToGrid w:val="0"/>
              <w:spacing w:line="240" w:lineRule="auto"/>
              <w:ind w:firstLine="0" w:firstLineChars="0"/>
              <w:jc w:val="center"/>
              <w:rPr>
                <w:rFonts w:ascii="仿宋" w:hAnsi="仿宋" w:cs="仿宋"/>
                <w:b/>
                <w:bCs/>
                <w:kern w:val="0"/>
                <w:szCs w:val="24"/>
              </w:rPr>
            </w:pPr>
            <w:r>
              <w:rPr>
                <w:rFonts w:hint="eastAsia" w:ascii="仿宋" w:hAnsi="仿宋" w:cs="仿宋"/>
                <w:b/>
                <w:bCs/>
                <w:kern w:val="0"/>
                <w:szCs w:val="24"/>
              </w:rPr>
              <w:t>项目</w:t>
            </w:r>
          </w:p>
        </w:tc>
        <w:tc>
          <w:tcPr>
            <w:tcW w:w="506" w:type="pct"/>
            <w:vAlign w:val="center"/>
          </w:tcPr>
          <w:p>
            <w:pPr>
              <w:autoSpaceDE w:val="0"/>
              <w:autoSpaceDN w:val="0"/>
              <w:adjustRightInd w:val="0"/>
              <w:snapToGrid w:val="0"/>
              <w:spacing w:line="240" w:lineRule="auto"/>
              <w:ind w:firstLine="0" w:firstLineChars="0"/>
              <w:jc w:val="center"/>
              <w:rPr>
                <w:rFonts w:ascii="仿宋" w:hAnsi="仿宋" w:cs="仿宋"/>
                <w:b/>
                <w:bCs/>
                <w:kern w:val="0"/>
                <w:szCs w:val="24"/>
              </w:rPr>
            </w:pPr>
            <w:r>
              <w:rPr>
                <w:rFonts w:hint="eastAsia" w:ascii="仿宋" w:hAnsi="仿宋" w:cs="仿宋"/>
                <w:b/>
                <w:bCs/>
                <w:kern w:val="0"/>
                <w:szCs w:val="24"/>
              </w:rPr>
              <w:t>评审因素</w:t>
            </w:r>
          </w:p>
        </w:tc>
        <w:tc>
          <w:tcPr>
            <w:tcW w:w="3735" w:type="pct"/>
            <w:vAlign w:val="center"/>
          </w:tcPr>
          <w:p>
            <w:pPr>
              <w:autoSpaceDE w:val="0"/>
              <w:autoSpaceDN w:val="0"/>
              <w:adjustRightInd w:val="0"/>
              <w:snapToGrid w:val="0"/>
              <w:spacing w:line="240" w:lineRule="auto"/>
              <w:ind w:firstLine="0" w:firstLineChars="0"/>
              <w:jc w:val="center"/>
              <w:rPr>
                <w:rFonts w:ascii="仿宋" w:hAnsi="仿宋" w:cs="仿宋"/>
                <w:b/>
                <w:bCs/>
                <w:kern w:val="0"/>
                <w:szCs w:val="24"/>
              </w:rPr>
            </w:pPr>
            <w:r>
              <w:rPr>
                <w:rFonts w:hint="eastAsia" w:ascii="仿宋" w:hAnsi="仿宋" w:cs="仿宋"/>
                <w:b/>
                <w:bCs/>
                <w:kern w:val="0"/>
                <w:szCs w:val="24"/>
              </w:rPr>
              <w:t>评分标准</w:t>
            </w:r>
          </w:p>
        </w:tc>
        <w:tc>
          <w:tcPr>
            <w:tcW w:w="418" w:type="pct"/>
            <w:vAlign w:val="center"/>
          </w:tcPr>
          <w:p>
            <w:pPr>
              <w:autoSpaceDE w:val="0"/>
              <w:autoSpaceDN w:val="0"/>
              <w:adjustRightInd w:val="0"/>
              <w:snapToGrid w:val="0"/>
              <w:spacing w:line="240" w:lineRule="auto"/>
              <w:ind w:firstLine="0" w:firstLineChars="0"/>
              <w:jc w:val="center"/>
              <w:rPr>
                <w:rFonts w:hint="default" w:ascii="仿宋" w:hAnsi="仿宋" w:eastAsia="仿宋" w:cs="仿宋"/>
                <w:b/>
                <w:bCs/>
                <w:kern w:val="0"/>
                <w:szCs w:val="24"/>
                <w:lang w:val="en-US" w:eastAsia="zh-CN"/>
              </w:rPr>
            </w:pPr>
            <w:r>
              <w:rPr>
                <w:rFonts w:hint="eastAsia" w:ascii="仿宋" w:hAnsi="仿宋" w:cs="仿宋"/>
                <w:b/>
                <w:bCs/>
                <w:kern w:val="0"/>
                <w:szCs w:val="24"/>
                <w:lang w:val="en-US" w:eastAsia="zh-CN"/>
              </w:rPr>
              <w:t>可浮动分值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 w:type="pct"/>
            <w:vAlign w:val="center"/>
          </w:tcPr>
          <w:p>
            <w:pPr>
              <w:autoSpaceDE w:val="0"/>
              <w:autoSpaceDN w:val="0"/>
              <w:adjustRightInd w:val="0"/>
              <w:snapToGrid w:val="0"/>
              <w:spacing w:line="240" w:lineRule="auto"/>
              <w:ind w:firstLine="0" w:firstLineChars="0"/>
              <w:jc w:val="center"/>
              <w:rPr>
                <w:rFonts w:ascii="仿宋" w:hAnsi="仿宋" w:cs="仿宋"/>
                <w:kern w:val="0"/>
                <w:szCs w:val="24"/>
              </w:rPr>
            </w:pPr>
            <w:r>
              <w:rPr>
                <w:rFonts w:hint="eastAsia" w:ascii="仿宋" w:hAnsi="仿宋" w:cs="仿宋"/>
                <w:kern w:val="0"/>
                <w:szCs w:val="24"/>
              </w:rPr>
              <w:t>价格</w:t>
            </w:r>
          </w:p>
          <w:p>
            <w:pPr>
              <w:autoSpaceDE w:val="0"/>
              <w:autoSpaceDN w:val="0"/>
              <w:adjustRightInd w:val="0"/>
              <w:snapToGrid w:val="0"/>
              <w:spacing w:line="240" w:lineRule="auto"/>
              <w:ind w:firstLine="0" w:firstLineChars="0"/>
              <w:jc w:val="center"/>
              <w:rPr>
                <w:rFonts w:ascii="仿宋" w:hAnsi="仿宋" w:cs="仿宋"/>
                <w:kern w:val="0"/>
                <w:szCs w:val="24"/>
              </w:rPr>
            </w:pPr>
            <w:r>
              <w:rPr>
                <w:rFonts w:hint="eastAsia" w:ascii="仿宋" w:hAnsi="仿宋" w:cs="仿宋"/>
                <w:kern w:val="0"/>
                <w:szCs w:val="24"/>
              </w:rPr>
              <w:t>部分</w:t>
            </w:r>
            <w:r>
              <w:rPr>
                <w:rFonts w:hint="eastAsia" w:ascii="仿宋" w:hAnsi="仿宋" w:cs="仿宋"/>
                <w:kern w:val="0"/>
                <w:szCs w:val="24"/>
                <w:lang w:val="en-US" w:eastAsia="zh-CN"/>
              </w:rPr>
              <w:t>15</w:t>
            </w:r>
            <w:r>
              <w:rPr>
                <w:rFonts w:hint="eastAsia" w:ascii="仿宋" w:hAnsi="仿宋" w:cs="仿宋"/>
                <w:kern w:val="0"/>
                <w:szCs w:val="24"/>
              </w:rPr>
              <w:t>分</w:t>
            </w:r>
          </w:p>
        </w:tc>
        <w:tc>
          <w:tcPr>
            <w:tcW w:w="506" w:type="pct"/>
            <w:vAlign w:val="center"/>
          </w:tcPr>
          <w:p>
            <w:pPr>
              <w:spacing w:line="240" w:lineRule="auto"/>
              <w:ind w:firstLine="0" w:firstLineChars="0"/>
              <w:rPr>
                <w:rFonts w:ascii="仿宋" w:hAnsi="仿宋" w:cs="仿宋"/>
              </w:rPr>
            </w:pPr>
            <w:r>
              <w:rPr>
                <w:rFonts w:hint="eastAsia" w:ascii="仿宋" w:hAnsi="仿宋" w:cs="仿宋"/>
              </w:rPr>
              <w:t>报价得分</w:t>
            </w:r>
          </w:p>
        </w:tc>
        <w:tc>
          <w:tcPr>
            <w:tcW w:w="3735" w:type="pct"/>
            <w:vAlign w:val="center"/>
          </w:tcPr>
          <w:p>
            <w:pPr>
              <w:spacing w:line="240" w:lineRule="auto"/>
              <w:ind w:firstLine="0" w:firstLineChars="0"/>
            </w:pPr>
            <w:r>
              <w:rPr>
                <w:rFonts w:hint="eastAsia"/>
              </w:rPr>
              <w:t>以满足招标文件要求且投标价格最低的投标报价为评标基准价，其价格分为满分</w:t>
            </w:r>
            <w:r>
              <w:rPr>
                <w:rFonts w:hint="eastAsia"/>
                <w:lang w:val="en-US" w:eastAsia="zh-CN"/>
              </w:rPr>
              <w:t>15</w:t>
            </w:r>
            <w:r>
              <w:rPr>
                <w:rFonts w:hint="eastAsia"/>
              </w:rPr>
              <w:t>分，其他投标人的价格分按照下列公式计算：投标报价得分=（评标基准价/投标报价）×</w:t>
            </w:r>
            <w:r>
              <w:rPr>
                <w:rFonts w:hint="eastAsia"/>
                <w:lang w:val="en-US" w:eastAsia="zh-CN"/>
              </w:rPr>
              <w:t>15</w:t>
            </w:r>
            <w:r>
              <w:rPr>
                <w:rFonts w:hint="eastAsia"/>
              </w:rPr>
              <w:t>%×100。（结果保留两位小数）</w:t>
            </w:r>
          </w:p>
          <w:p>
            <w:pPr>
              <w:spacing w:line="240" w:lineRule="auto"/>
              <w:ind w:firstLine="0" w:firstLineChars="0"/>
            </w:pPr>
            <w:r>
              <w:rPr>
                <w:rFonts w:hint="eastAsia"/>
              </w:rPr>
              <w:t>若投标报价超出采购预算的，视为无效投标。</w:t>
            </w:r>
          </w:p>
        </w:tc>
        <w:tc>
          <w:tcPr>
            <w:tcW w:w="418" w:type="pct"/>
            <w:vAlign w:val="center"/>
          </w:tcPr>
          <w:p>
            <w:pPr>
              <w:autoSpaceDE w:val="0"/>
              <w:autoSpaceDN w:val="0"/>
              <w:adjustRightInd w:val="0"/>
              <w:snapToGrid w:val="0"/>
              <w:spacing w:line="240" w:lineRule="auto"/>
              <w:ind w:firstLine="0" w:firstLineChars="0"/>
              <w:jc w:val="center"/>
              <w:rPr>
                <w:rFonts w:hint="default" w:ascii="仿宋" w:hAnsi="仿宋" w:eastAsia="仿宋" w:cs="仿宋"/>
                <w:kern w:val="0"/>
                <w:szCs w:val="24"/>
                <w:lang w:val="en-US" w:eastAsia="zh-CN"/>
              </w:rPr>
            </w:pPr>
            <w:r>
              <w:rPr>
                <w:rFonts w:hint="eastAsia" w:ascii="仿宋" w:hAnsi="仿宋" w:cs="仿宋"/>
                <w:kern w:val="0"/>
                <w:szCs w:val="24"/>
                <w:lang w:val="en-US" w:eastAsia="zh-CN"/>
              </w:rPr>
              <w:t xml:space="preserve"> 5</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 w:type="pct"/>
            <w:vMerge w:val="restart"/>
            <w:vAlign w:val="center"/>
          </w:tcPr>
          <w:p>
            <w:pPr>
              <w:autoSpaceDE w:val="0"/>
              <w:autoSpaceDN w:val="0"/>
              <w:adjustRightInd w:val="0"/>
              <w:snapToGrid w:val="0"/>
              <w:spacing w:line="240" w:lineRule="auto"/>
              <w:ind w:firstLine="0" w:firstLineChars="0"/>
              <w:jc w:val="center"/>
              <w:rPr>
                <w:rFonts w:ascii="仿宋" w:hAnsi="仿宋" w:cs="仿宋"/>
                <w:kern w:val="0"/>
                <w:szCs w:val="24"/>
              </w:rPr>
            </w:pPr>
            <w:r>
              <w:rPr>
                <w:rFonts w:hint="eastAsia" w:ascii="仿宋" w:hAnsi="仿宋" w:cs="仿宋"/>
                <w:kern w:val="0"/>
                <w:szCs w:val="24"/>
              </w:rPr>
              <w:t>商务部分1</w:t>
            </w:r>
            <w:r>
              <w:rPr>
                <w:rFonts w:ascii="仿宋" w:hAnsi="仿宋" w:cs="仿宋"/>
                <w:kern w:val="0"/>
                <w:szCs w:val="24"/>
              </w:rPr>
              <w:t>2</w:t>
            </w:r>
            <w:r>
              <w:rPr>
                <w:rFonts w:hint="eastAsia" w:ascii="仿宋" w:hAnsi="仿宋" w:cs="仿宋"/>
                <w:kern w:val="0"/>
                <w:szCs w:val="24"/>
              </w:rPr>
              <w:t>分</w:t>
            </w:r>
          </w:p>
        </w:tc>
        <w:tc>
          <w:tcPr>
            <w:tcW w:w="506" w:type="pct"/>
            <w:vAlign w:val="center"/>
          </w:tcPr>
          <w:p>
            <w:pPr>
              <w:spacing w:line="240" w:lineRule="auto"/>
              <w:ind w:firstLine="0" w:firstLineChars="0"/>
              <w:rPr>
                <w:rFonts w:ascii="仿宋" w:hAnsi="仿宋" w:cs="仿宋"/>
                <w:szCs w:val="24"/>
              </w:rPr>
            </w:pPr>
            <w:r>
              <w:rPr>
                <w:rFonts w:hint="eastAsia" w:ascii="仿宋" w:hAnsi="仿宋" w:cs="仿宋"/>
                <w:szCs w:val="24"/>
              </w:rPr>
              <w:t>同类业绩</w:t>
            </w:r>
            <w:r>
              <w:rPr>
                <w:rFonts w:ascii="仿宋" w:hAnsi="仿宋" w:cs="仿宋"/>
                <w:szCs w:val="24"/>
              </w:rPr>
              <w:t>8</w:t>
            </w:r>
            <w:r>
              <w:rPr>
                <w:rFonts w:hint="eastAsia" w:ascii="仿宋" w:hAnsi="仿宋" w:cs="仿宋"/>
                <w:szCs w:val="24"/>
              </w:rPr>
              <w:t>分</w:t>
            </w:r>
          </w:p>
        </w:tc>
        <w:tc>
          <w:tcPr>
            <w:tcW w:w="3735" w:type="pct"/>
            <w:vAlign w:val="center"/>
          </w:tcPr>
          <w:p>
            <w:pPr>
              <w:spacing w:line="240" w:lineRule="auto"/>
              <w:ind w:firstLine="0" w:firstLineChars="0"/>
              <w:rPr>
                <w:rFonts w:ascii="仿宋" w:hAnsi="仿宋" w:cs="仿宋"/>
                <w:szCs w:val="24"/>
              </w:rPr>
            </w:pPr>
            <w:r>
              <w:rPr>
                <w:rFonts w:hint="eastAsia" w:ascii="仿宋" w:hAnsi="仿宋" w:cs="仿宋"/>
                <w:szCs w:val="24"/>
              </w:rPr>
              <w:t>提供2019年1月1日以来签订的符合招标文件需求的同类物业管理业绩，每个得1.5分，同个案例不同合同期的只可计入一次,本项最多得9分，如果以上业绩中具有高校服务经验的，每有一项加0.5分，最多加3分。</w:t>
            </w:r>
          </w:p>
          <w:p>
            <w:pPr>
              <w:spacing w:line="240" w:lineRule="auto"/>
              <w:ind w:firstLine="0" w:firstLineChars="0"/>
              <w:rPr>
                <w:rFonts w:ascii="仿宋" w:hAnsi="仿宋" w:cs="仿宋"/>
                <w:szCs w:val="24"/>
              </w:rPr>
            </w:pPr>
            <w:r>
              <w:rPr>
                <w:rFonts w:hint="eastAsia" w:ascii="仿宋" w:hAnsi="仿宋" w:cs="仿宋"/>
                <w:szCs w:val="24"/>
              </w:rPr>
              <w:t>服务内容至少包括环境保洁、绿化养护、楼宇管理等内容（合同表述不同，服务内容相同视为认同），否则该项目业绩不得分。</w:t>
            </w:r>
          </w:p>
          <w:p>
            <w:pPr>
              <w:spacing w:line="240" w:lineRule="auto"/>
              <w:ind w:firstLine="0" w:firstLineChars="0"/>
              <w:rPr>
                <w:rFonts w:ascii="仿宋" w:hAnsi="仿宋" w:cs="仿宋"/>
                <w:szCs w:val="24"/>
              </w:rPr>
            </w:pPr>
            <w:r>
              <w:rPr>
                <w:rFonts w:hint="eastAsia" w:ascii="仿宋" w:hAnsi="仿宋" w:cs="仿宋"/>
                <w:szCs w:val="24"/>
              </w:rPr>
              <w:t>开标时须提供中标通知书原件、业绩合同原件、项目物业费往来银行凭证或发票的复印件，三者缺一不可，且</w:t>
            </w:r>
            <w:r>
              <w:rPr>
                <w:rFonts w:hint="eastAsia" w:ascii="仿宋" w:hAnsi="仿宋" w:cs="仿宋"/>
                <w:b/>
                <w:bCs/>
                <w:szCs w:val="24"/>
              </w:rPr>
              <w:t>复印件装订至投标文件中，</w:t>
            </w:r>
            <w:r>
              <w:rPr>
                <w:rFonts w:hint="eastAsia" w:ascii="仿宋" w:hAnsi="仿宋" w:cs="仿宋"/>
                <w:szCs w:val="24"/>
              </w:rPr>
              <w:t>否则不得分。</w:t>
            </w:r>
          </w:p>
        </w:tc>
        <w:tc>
          <w:tcPr>
            <w:tcW w:w="418" w:type="pct"/>
            <w:vAlign w:val="center"/>
          </w:tcPr>
          <w:p>
            <w:pPr>
              <w:spacing w:line="240" w:lineRule="auto"/>
              <w:ind w:firstLine="0" w:firstLineChars="0"/>
              <w:jc w:val="center"/>
              <w:rPr>
                <w:rFonts w:hint="default" w:ascii="仿宋" w:hAnsi="仿宋" w:eastAsia="仿宋" w:cs="仿宋"/>
                <w:szCs w:val="24"/>
                <w:lang w:val="en-US" w:eastAsia="zh-CN"/>
              </w:rPr>
            </w:pPr>
            <w:r>
              <w:rPr>
                <w:rFonts w:hint="eastAsia" w:ascii="仿宋" w:hAnsi="仿宋" w:cs="仿宋"/>
                <w:szCs w:val="24"/>
                <w:lang w:val="en-US" w:eastAsia="zh-CN"/>
              </w:rPr>
              <w:t xml:space="preserve"> 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 w:type="pct"/>
            <w:vMerge w:val="continue"/>
            <w:vAlign w:val="center"/>
          </w:tcPr>
          <w:p>
            <w:pPr>
              <w:autoSpaceDE w:val="0"/>
              <w:autoSpaceDN w:val="0"/>
              <w:adjustRightInd w:val="0"/>
              <w:snapToGrid w:val="0"/>
              <w:spacing w:line="240" w:lineRule="auto"/>
              <w:ind w:firstLine="0" w:firstLineChars="0"/>
              <w:jc w:val="center"/>
              <w:rPr>
                <w:rFonts w:ascii="仿宋" w:hAnsi="仿宋" w:cs="仿宋"/>
                <w:kern w:val="0"/>
                <w:szCs w:val="24"/>
              </w:rPr>
            </w:pPr>
          </w:p>
        </w:tc>
        <w:tc>
          <w:tcPr>
            <w:tcW w:w="506" w:type="pct"/>
            <w:vAlign w:val="center"/>
          </w:tcPr>
          <w:p>
            <w:pPr>
              <w:spacing w:line="240" w:lineRule="auto"/>
              <w:ind w:firstLine="0" w:firstLineChars="0"/>
              <w:rPr>
                <w:rFonts w:ascii="仿宋" w:hAnsi="仿宋" w:cs="仿宋"/>
                <w:b/>
                <w:bCs/>
                <w:szCs w:val="24"/>
              </w:rPr>
            </w:pPr>
            <w:r>
              <w:rPr>
                <w:rFonts w:hint="eastAsia" w:ascii="仿宋" w:hAnsi="仿宋" w:cs="仿宋"/>
                <w:szCs w:val="24"/>
              </w:rPr>
              <w:t>管理体系4分</w:t>
            </w:r>
          </w:p>
        </w:tc>
        <w:tc>
          <w:tcPr>
            <w:tcW w:w="3735" w:type="pct"/>
            <w:vAlign w:val="center"/>
          </w:tcPr>
          <w:p>
            <w:pPr>
              <w:spacing w:line="240" w:lineRule="auto"/>
              <w:ind w:firstLine="0" w:firstLineChars="0"/>
              <w:rPr>
                <w:rFonts w:ascii="仿宋" w:hAnsi="仿宋" w:cs="仿宋"/>
                <w:szCs w:val="24"/>
              </w:rPr>
            </w:pPr>
            <w:r>
              <w:rPr>
                <w:rFonts w:hint="eastAsia" w:ascii="仿宋" w:hAnsi="仿宋" w:cs="仿宋"/>
                <w:szCs w:val="24"/>
              </w:rPr>
              <w:t>供应商具有有效的质量管理体系认证证书、环境管理体系认证证书、职业健康安全管理体系认证证书、能源管理体系认证证书，每提供一个得1分，最多4分。</w:t>
            </w:r>
          </w:p>
          <w:p>
            <w:pPr>
              <w:spacing w:line="240" w:lineRule="auto"/>
              <w:ind w:firstLine="0" w:firstLineChars="0"/>
              <w:rPr>
                <w:rFonts w:ascii="仿宋" w:hAnsi="仿宋" w:cs="仿宋"/>
                <w:szCs w:val="24"/>
              </w:rPr>
            </w:pPr>
            <w:r>
              <w:rPr>
                <w:rFonts w:hint="eastAsia" w:ascii="仿宋" w:hAnsi="仿宋" w:cs="仿宋"/>
                <w:b/>
                <w:bCs/>
                <w:szCs w:val="24"/>
              </w:rPr>
              <w:t>开标时须提供证书原件，复印件装订至投标文件中，否则不得分。</w:t>
            </w:r>
          </w:p>
        </w:tc>
        <w:tc>
          <w:tcPr>
            <w:tcW w:w="418" w:type="pct"/>
            <w:vAlign w:val="center"/>
          </w:tcPr>
          <w:p>
            <w:pPr>
              <w:spacing w:line="240" w:lineRule="auto"/>
              <w:ind w:firstLine="0" w:firstLineChars="0"/>
              <w:jc w:val="center"/>
              <w:rPr>
                <w:rFonts w:hint="default" w:ascii="仿宋" w:hAnsi="仿宋" w:eastAsia="仿宋" w:cs="仿宋"/>
                <w:szCs w:val="24"/>
                <w:lang w:val="en-US" w:eastAsia="zh-CN"/>
              </w:rPr>
            </w:pPr>
            <w:r>
              <w:rPr>
                <w:rFonts w:hint="eastAsia" w:ascii="仿宋" w:hAnsi="仿宋" w:cs="仿宋"/>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339" w:type="pct"/>
            <w:vMerge w:val="restart"/>
            <w:vAlign w:val="center"/>
          </w:tcPr>
          <w:p>
            <w:pPr>
              <w:spacing w:line="240" w:lineRule="auto"/>
              <w:ind w:firstLine="0" w:firstLineChars="0"/>
              <w:jc w:val="center"/>
              <w:rPr>
                <w:rFonts w:ascii="仿宋" w:hAnsi="仿宋" w:cs="仿宋"/>
                <w:szCs w:val="24"/>
              </w:rPr>
            </w:pPr>
            <w:r>
              <w:rPr>
                <w:rFonts w:hint="eastAsia" w:ascii="仿宋" w:hAnsi="仿宋" w:cs="仿宋"/>
                <w:szCs w:val="24"/>
              </w:rPr>
              <w:t>技术</w:t>
            </w:r>
          </w:p>
          <w:p>
            <w:pPr>
              <w:spacing w:line="240" w:lineRule="auto"/>
              <w:ind w:firstLine="0" w:firstLineChars="0"/>
              <w:jc w:val="center"/>
              <w:rPr>
                <w:rFonts w:ascii="仿宋" w:hAnsi="仿宋" w:cs="仿宋"/>
                <w:szCs w:val="24"/>
              </w:rPr>
            </w:pPr>
            <w:r>
              <w:rPr>
                <w:rFonts w:hint="eastAsia" w:ascii="仿宋" w:hAnsi="仿宋" w:cs="仿宋"/>
                <w:szCs w:val="24"/>
              </w:rPr>
              <w:t>部分64分</w:t>
            </w:r>
          </w:p>
        </w:tc>
        <w:tc>
          <w:tcPr>
            <w:tcW w:w="506" w:type="pct"/>
            <w:vAlign w:val="center"/>
          </w:tcPr>
          <w:p>
            <w:pPr>
              <w:spacing w:line="240" w:lineRule="auto"/>
              <w:ind w:firstLine="0" w:firstLineChars="0"/>
              <w:rPr>
                <w:rFonts w:ascii="仿宋" w:hAnsi="仿宋" w:cs="仿宋"/>
                <w:szCs w:val="24"/>
                <w:highlight w:val="yellow"/>
              </w:rPr>
            </w:pPr>
            <w:r>
              <w:rPr>
                <w:rFonts w:hint="eastAsia" w:ascii="仿宋" w:hAnsi="仿宋" w:cs="仿宋"/>
                <w:szCs w:val="24"/>
              </w:rPr>
              <w:t>技术响应服务方案22分</w:t>
            </w:r>
          </w:p>
        </w:tc>
        <w:tc>
          <w:tcPr>
            <w:tcW w:w="3735" w:type="pct"/>
            <w:vAlign w:val="center"/>
          </w:tcPr>
          <w:p>
            <w:pPr>
              <w:spacing w:line="240" w:lineRule="auto"/>
              <w:ind w:firstLine="480" w:firstLineChars="200"/>
              <w:rPr>
                <w:rFonts w:ascii="仿宋" w:hAnsi="仿宋" w:cs="仿宋"/>
                <w:szCs w:val="24"/>
              </w:rPr>
            </w:pPr>
            <w:r>
              <w:rPr>
                <w:rFonts w:hint="eastAsia" w:ascii="仿宋" w:hAnsi="仿宋" w:cs="仿宋"/>
                <w:szCs w:val="24"/>
              </w:rPr>
              <w:t>投标人针对本项目制定的技术响应服务方案，技术服务响应方案应包括绿化养护、楼宇管理、公寓管理、环境保洁、垃圾清运、图书馆管理等方面，每方面的服务方案至少体现管理思路及服务目标、质量及保证措施等内容。</w:t>
            </w:r>
          </w:p>
          <w:p>
            <w:pPr>
              <w:pStyle w:val="3"/>
              <w:spacing w:line="240" w:lineRule="auto"/>
              <w:ind w:firstLine="0" w:firstLineChars="0"/>
            </w:pPr>
            <w:r>
              <w:rPr>
                <w:rFonts w:hint="eastAsia"/>
              </w:rPr>
              <w:t>（一）1、绿化养护方案，根据方案对招标文件的响应、管理思路及服务目标、质量及保证措施等内容得1-3；未提供的不得分。</w:t>
            </w:r>
          </w:p>
          <w:p>
            <w:pPr>
              <w:pStyle w:val="3"/>
              <w:spacing w:line="240" w:lineRule="auto"/>
              <w:ind w:firstLine="0" w:firstLineChars="0"/>
            </w:pPr>
            <w:r>
              <w:rPr>
                <w:rFonts w:hint="eastAsia"/>
              </w:rPr>
              <w:t>2、</w:t>
            </w:r>
            <w:r>
              <w:rPr>
                <w:rFonts w:hint="eastAsia" w:ascii="仿宋" w:hAnsi="仿宋" w:cs="仿宋"/>
                <w:szCs w:val="24"/>
              </w:rPr>
              <w:t>楼宇管理</w:t>
            </w:r>
            <w:r>
              <w:rPr>
                <w:rFonts w:hint="eastAsia"/>
              </w:rPr>
              <w:t>方案，根据方案对招标文件的响应、管理思路及服务目标、质量及保证措施等内容得1-3；未提供的不得分。</w:t>
            </w:r>
          </w:p>
          <w:p>
            <w:pPr>
              <w:pStyle w:val="3"/>
              <w:spacing w:line="240" w:lineRule="auto"/>
              <w:ind w:firstLine="0" w:firstLineChars="0"/>
            </w:pPr>
            <w:r>
              <w:rPr>
                <w:rFonts w:hint="eastAsia"/>
              </w:rPr>
              <w:t>3、</w:t>
            </w:r>
            <w:r>
              <w:rPr>
                <w:rFonts w:hint="eastAsia" w:ascii="仿宋" w:hAnsi="仿宋" w:cs="仿宋"/>
                <w:szCs w:val="24"/>
              </w:rPr>
              <w:t>公寓管理</w:t>
            </w:r>
            <w:r>
              <w:rPr>
                <w:rFonts w:hint="eastAsia"/>
              </w:rPr>
              <w:t>方案，根据方案对招标文件的响应、管理思路及服务目标、质量及保证措施等内容得1-3；未提供的不得分。</w:t>
            </w:r>
          </w:p>
          <w:p>
            <w:pPr>
              <w:pStyle w:val="3"/>
              <w:spacing w:line="240" w:lineRule="auto"/>
              <w:ind w:firstLine="0" w:firstLineChars="0"/>
            </w:pPr>
            <w:r>
              <w:rPr>
                <w:rFonts w:hint="eastAsia"/>
              </w:rPr>
              <w:t>4、</w:t>
            </w:r>
            <w:r>
              <w:rPr>
                <w:rFonts w:hint="eastAsia" w:ascii="仿宋" w:hAnsi="仿宋" w:cs="仿宋"/>
                <w:szCs w:val="24"/>
              </w:rPr>
              <w:t>环境保洁</w:t>
            </w:r>
            <w:r>
              <w:rPr>
                <w:rFonts w:hint="eastAsia"/>
              </w:rPr>
              <w:t>方案，根据方案对招标文件的响应、管理思路及服务目标、质量及保证措施等内容得1-3；未提供的不得分。</w:t>
            </w:r>
          </w:p>
          <w:p>
            <w:pPr>
              <w:pStyle w:val="3"/>
              <w:spacing w:line="240" w:lineRule="auto"/>
              <w:ind w:firstLine="0" w:firstLineChars="0"/>
            </w:pPr>
            <w:r>
              <w:rPr>
                <w:rFonts w:hint="eastAsia"/>
              </w:rPr>
              <w:t>5、</w:t>
            </w:r>
            <w:r>
              <w:rPr>
                <w:rFonts w:hint="eastAsia" w:ascii="仿宋" w:hAnsi="仿宋" w:cs="仿宋"/>
                <w:szCs w:val="24"/>
              </w:rPr>
              <w:t>垃圾清运</w:t>
            </w:r>
            <w:r>
              <w:rPr>
                <w:rFonts w:hint="eastAsia"/>
              </w:rPr>
              <w:t>方案，根据方案对招标文件的响应、管理思路及服务目标、质量及保证措施等内容得1-3；未提供的不得分。</w:t>
            </w:r>
          </w:p>
          <w:p>
            <w:pPr>
              <w:pStyle w:val="3"/>
              <w:spacing w:line="240" w:lineRule="auto"/>
              <w:ind w:firstLine="0" w:firstLineChars="0"/>
            </w:pPr>
            <w:r>
              <w:rPr>
                <w:rFonts w:hint="eastAsia"/>
              </w:rPr>
              <w:t>6、</w:t>
            </w:r>
            <w:r>
              <w:rPr>
                <w:rFonts w:hint="eastAsia" w:ascii="仿宋" w:hAnsi="仿宋" w:cs="仿宋"/>
                <w:szCs w:val="24"/>
              </w:rPr>
              <w:t>图书馆管理</w:t>
            </w:r>
            <w:r>
              <w:rPr>
                <w:rFonts w:hint="eastAsia"/>
              </w:rPr>
              <w:t>，根据方案对招标文件的响应、管理思路及服务目标、质量及保证措施等内容得1-3；未提供的不得分。</w:t>
            </w:r>
          </w:p>
          <w:p>
            <w:pPr>
              <w:pStyle w:val="3"/>
              <w:spacing w:line="240" w:lineRule="auto"/>
              <w:ind w:firstLine="0" w:firstLineChars="0"/>
            </w:pPr>
            <w:r>
              <w:rPr>
                <w:rFonts w:hint="eastAsia"/>
              </w:rPr>
              <w:t>（二）以上方案中每存在1处优于招标文件要求的加0.5分，最多加4分。</w:t>
            </w:r>
          </w:p>
        </w:tc>
        <w:tc>
          <w:tcPr>
            <w:tcW w:w="418" w:type="pct"/>
            <w:vAlign w:val="center"/>
          </w:tcPr>
          <w:p>
            <w:pPr>
              <w:spacing w:line="240" w:lineRule="auto"/>
              <w:ind w:firstLine="0" w:firstLineChars="0"/>
              <w:jc w:val="center"/>
              <w:rPr>
                <w:rFonts w:hint="default" w:ascii="仿宋" w:hAnsi="仿宋" w:eastAsia="仿宋" w:cs="仿宋"/>
                <w:szCs w:val="24"/>
                <w:highlight w:val="yellow"/>
                <w:lang w:val="en-US" w:eastAsia="zh-CN"/>
              </w:rPr>
            </w:pPr>
            <w:r>
              <w:rPr>
                <w:rFonts w:hint="eastAsia" w:ascii="仿宋" w:hAnsi="仿宋" w:cs="仿宋"/>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spacing w:line="240" w:lineRule="auto"/>
              <w:ind w:firstLine="0" w:firstLineChars="0"/>
              <w:rPr>
                <w:rFonts w:ascii="仿宋" w:hAnsi="仿宋" w:cs="仿宋"/>
                <w:szCs w:val="24"/>
              </w:rPr>
            </w:pPr>
            <w:r>
              <w:rPr>
                <w:rFonts w:hint="eastAsia" w:ascii="仿宋" w:hAnsi="仿宋" w:cs="仿宋"/>
                <w:szCs w:val="24"/>
              </w:rPr>
              <w:t>机械化设施设备8分</w:t>
            </w:r>
          </w:p>
        </w:tc>
        <w:tc>
          <w:tcPr>
            <w:tcW w:w="3735" w:type="pct"/>
            <w:vAlign w:val="center"/>
          </w:tcPr>
          <w:p>
            <w:pPr>
              <w:widowControl/>
              <w:spacing w:line="276" w:lineRule="auto"/>
              <w:ind w:firstLine="480"/>
              <w:rPr>
                <w:rFonts w:ascii="仿宋" w:cs="仿宋"/>
                <w:szCs w:val="24"/>
              </w:rPr>
            </w:pPr>
            <w:r>
              <w:rPr>
                <w:rFonts w:hint="eastAsia" w:ascii="仿宋" w:cs="仿宋"/>
                <w:szCs w:val="24"/>
              </w:rPr>
              <w:t>为本项目投入机械化设施设备满足本需求基本配置，并附承诺书及拟投入设备清单，得3分。</w:t>
            </w:r>
          </w:p>
          <w:p>
            <w:pPr>
              <w:pStyle w:val="2"/>
              <w:ind w:firstLine="480"/>
              <w:rPr>
                <w:strike/>
              </w:rPr>
            </w:pPr>
            <w:r>
              <w:rPr>
                <w:rFonts w:hint="eastAsia" w:ascii="仿宋" w:cs="仿宋"/>
                <w:szCs w:val="24"/>
              </w:rPr>
              <w:t>机械设备总价格超过40万元每超过3万元，加1分，最多加5分。</w:t>
            </w:r>
          </w:p>
          <w:p>
            <w:pPr>
              <w:spacing w:line="240" w:lineRule="auto"/>
              <w:ind w:firstLine="480"/>
              <w:rPr>
                <w:rFonts w:ascii="仿宋" w:hAnsi="仿宋" w:cs="仿宋"/>
                <w:szCs w:val="24"/>
              </w:rPr>
            </w:pPr>
            <w:r>
              <w:rPr>
                <w:rFonts w:hint="eastAsia" w:ascii="仿宋" w:cs="仿宋"/>
                <w:szCs w:val="24"/>
              </w:rPr>
              <w:t>（投标文件须承诺中标后3个月内提供投标人投标时所投设备清单及设备购置发票复印件，发票与实物须一致，投用设备为自有，使用年限不超过2年，未提供承诺书及拟投入设备清单，不得分）</w:t>
            </w:r>
          </w:p>
        </w:tc>
        <w:tc>
          <w:tcPr>
            <w:tcW w:w="418" w:type="pct"/>
            <w:vAlign w:val="center"/>
          </w:tcPr>
          <w:p>
            <w:pPr>
              <w:spacing w:line="240" w:lineRule="auto"/>
              <w:ind w:firstLine="0" w:firstLineChars="0"/>
              <w:jc w:val="center"/>
              <w:rPr>
                <w:rFonts w:hint="eastAsia" w:ascii="仿宋" w:hAnsi="仿宋" w:eastAsia="仿宋" w:cs="仿宋"/>
                <w:szCs w:val="24"/>
                <w:lang w:eastAsia="zh-CN"/>
              </w:rPr>
            </w:pPr>
            <w:r>
              <w:rPr>
                <w:rFonts w:hint="eastAsia" w:ascii="仿宋" w:hAnsi="仿宋" w:cs="仿宋"/>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widowControl/>
              <w:spacing w:line="240" w:lineRule="auto"/>
              <w:ind w:firstLine="0" w:firstLineChars="0"/>
              <w:rPr>
                <w:rFonts w:ascii="仿宋" w:hAnsi="仿宋" w:cs="仿宋"/>
                <w:szCs w:val="24"/>
              </w:rPr>
            </w:pPr>
            <w:r>
              <w:rPr>
                <w:rFonts w:hint="eastAsia" w:ascii="仿宋" w:hAnsi="仿宋" w:cs="仿宋"/>
                <w:szCs w:val="24"/>
              </w:rPr>
              <w:t>人员配备1</w:t>
            </w:r>
            <w:r>
              <w:rPr>
                <w:rFonts w:ascii="仿宋" w:hAnsi="仿宋" w:cs="仿宋"/>
                <w:szCs w:val="24"/>
              </w:rPr>
              <w:t>0</w:t>
            </w:r>
            <w:r>
              <w:rPr>
                <w:rFonts w:hint="eastAsia" w:ascii="仿宋" w:hAnsi="仿宋" w:cs="仿宋"/>
                <w:szCs w:val="24"/>
              </w:rPr>
              <w:t>分</w:t>
            </w:r>
          </w:p>
        </w:tc>
        <w:tc>
          <w:tcPr>
            <w:tcW w:w="3735" w:type="pct"/>
            <w:vAlign w:val="center"/>
          </w:tcPr>
          <w:p>
            <w:pPr>
              <w:widowControl/>
              <w:spacing w:line="240" w:lineRule="auto"/>
              <w:ind w:firstLine="480"/>
              <w:rPr>
                <w:rFonts w:ascii="仿宋" w:hAnsi="仿宋" w:cs="仿宋"/>
                <w:szCs w:val="24"/>
              </w:rPr>
            </w:pPr>
            <w:r>
              <w:rPr>
                <w:rFonts w:hint="eastAsia" w:ascii="仿宋" w:hAnsi="仿宋" w:cs="仿宋"/>
                <w:szCs w:val="24"/>
              </w:rPr>
              <w:t>1.项目经理具有三年及以上独立负责物业项目管理经验，50周岁（含）以下，本科及以上学历,中级及以上职称得1分；有建筑物面积30万平方米及以上项目管理经历，得1分；共2分；</w:t>
            </w:r>
          </w:p>
          <w:p>
            <w:pPr>
              <w:widowControl/>
              <w:spacing w:line="240" w:lineRule="auto"/>
              <w:ind w:firstLine="480"/>
              <w:rPr>
                <w:rFonts w:ascii="仿宋" w:hAnsi="仿宋" w:cs="仿宋"/>
                <w:szCs w:val="24"/>
              </w:rPr>
            </w:pPr>
            <w:r>
              <w:rPr>
                <w:rFonts w:hint="eastAsia" w:ascii="仿宋" w:hAnsi="仿宋" w:cs="仿宋"/>
                <w:szCs w:val="24"/>
              </w:rPr>
              <w:t>2.项目经理近三年在履约完成的高等院校类物业项目中担任项目经理，且服务周期内物业服务质量良好（提供用户证明书原件，须加盖与采购单位名称一致的公章）案例 1 个，得0.5分，该项得分最高为1分；</w:t>
            </w:r>
          </w:p>
          <w:p>
            <w:pPr>
              <w:widowControl/>
              <w:spacing w:line="240" w:lineRule="auto"/>
              <w:ind w:firstLine="480"/>
              <w:rPr>
                <w:rFonts w:ascii="仿宋" w:hAnsi="仿宋" w:cs="仿宋"/>
                <w:szCs w:val="24"/>
              </w:rPr>
            </w:pPr>
            <w:r>
              <w:rPr>
                <w:rFonts w:hint="eastAsia" w:ascii="仿宋" w:hAnsi="仿宋" w:cs="仿宋"/>
                <w:szCs w:val="24"/>
              </w:rPr>
              <w:t>3.主管设置科学合理，符合招标文件要求，其中秩序维护主管具有建构筑物消防员证等行政主管部门颁发的上岗证、绿化主管具有园林绿化相关中级职称（或行业中级从业证书），得1分；</w:t>
            </w:r>
          </w:p>
          <w:p>
            <w:pPr>
              <w:widowControl/>
              <w:spacing w:line="240" w:lineRule="auto"/>
              <w:ind w:firstLine="480"/>
              <w:rPr>
                <w:rFonts w:ascii="仿宋" w:hAnsi="仿宋" w:cs="仿宋"/>
                <w:szCs w:val="24"/>
              </w:rPr>
            </w:pPr>
            <w:r>
              <w:rPr>
                <w:rFonts w:hint="eastAsia" w:ascii="仿宋" w:hAnsi="仿宋" w:cs="仿宋"/>
                <w:szCs w:val="24"/>
              </w:rPr>
              <w:t>4.管理团队人员配置科学合理符合物业需要，不少于5人（中级职称不少于2人），得1分，不符合要求不得分；</w:t>
            </w:r>
          </w:p>
          <w:p>
            <w:pPr>
              <w:widowControl/>
              <w:spacing w:line="240" w:lineRule="auto"/>
              <w:ind w:firstLine="480"/>
              <w:rPr>
                <w:rFonts w:ascii="仿宋" w:hAnsi="仿宋" w:cs="仿宋"/>
                <w:szCs w:val="24"/>
              </w:rPr>
            </w:pPr>
            <w:r>
              <w:rPr>
                <w:rFonts w:hint="eastAsia" w:ascii="仿宋" w:hAnsi="仿宋" w:cs="仿宋"/>
                <w:szCs w:val="24"/>
              </w:rPr>
              <w:t>5.综合考虑投标人拟投入服务团队配置、年龄结构、从业经验、学历水平、持证上岗的情况，符合招标文件要求、切合市场情况、维持物业服务质量的根据响应内容细化程度得0-</w:t>
            </w:r>
            <w:r>
              <w:rPr>
                <w:rFonts w:ascii="仿宋" w:hAnsi="仿宋" w:cs="仿宋"/>
                <w:szCs w:val="24"/>
              </w:rPr>
              <w:t>5</w:t>
            </w:r>
            <w:r>
              <w:rPr>
                <w:rFonts w:hint="eastAsia" w:ascii="仿宋" w:hAnsi="仿宋" w:cs="仿宋"/>
                <w:szCs w:val="24"/>
              </w:rPr>
              <w:t>分，未体现不得分；</w:t>
            </w:r>
          </w:p>
          <w:p>
            <w:pPr>
              <w:widowControl/>
              <w:spacing w:line="240" w:lineRule="auto"/>
              <w:ind w:firstLine="480"/>
              <w:rPr>
                <w:rFonts w:ascii="仿宋" w:hAnsi="仿宋" w:cs="仿宋"/>
                <w:szCs w:val="24"/>
              </w:rPr>
            </w:pPr>
            <w:r>
              <w:rPr>
                <w:rFonts w:hint="eastAsia" w:ascii="仿宋" w:hAnsi="仿宋" w:cs="仿宋"/>
                <w:szCs w:val="24"/>
              </w:rPr>
              <w:t>(以上1-2需提供材料：提供学历证、职称证、资格证原件，及加盖投标人公章的复印件；二提供其在投标单位开标前24个月的社保证明及能证明物业管理经验年限的相关材料（就职单位年限证明和物业服务单位服务年限的证明；3-4需提供材料：一提供职业资格证书或中级及以上职称证书（含行业中级从业证书）原件，及加盖投标人公章的复印件；提供其在投标单位开标前12个月的社保证明；不提供不得分)</w:t>
            </w:r>
          </w:p>
        </w:tc>
        <w:tc>
          <w:tcPr>
            <w:tcW w:w="418" w:type="pct"/>
            <w:vAlign w:val="center"/>
          </w:tcPr>
          <w:p>
            <w:pPr>
              <w:spacing w:line="240" w:lineRule="auto"/>
              <w:ind w:firstLine="0" w:firstLineChars="0"/>
              <w:jc w:val="center"/>
              <w:rPr>
                <w:rFonts w:hint="default" w:ascii="仿宋" w:hAnsi="仿宋" w:eastAsia="仿宋" w:cs="仿宋"/>
                <w:szCs w:val="24"/>
                <w:lang w:val="en-US" w:eastAsia="zh-CN"/>
              </w:rPr>
            </w:pPr>
            <w:r>
              <w:rPr>
                <w:rFonts w:hint="eastAsia" w:ascii="仿宋" w:hAnsi="仿宋" w:cs="仿宋"/>
                <w:szCs w:val="24"/>
                <w:lang w:val="en-US" w:eastAsia="zh-CN"/>
              </w:rPr>
              <w:t xml:space="preserve"> 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spacing w:line="240" w:lineRule="auto"/>
              <w:ind w:firstLine="0" w:firstLineChars="0"/>
              <w:rPr>
                <w:rFonts w:hint="eastAsia" w:ascii="仿宋" w:hAnsi="仿宋" w:cs="仿宋"/>
                <w:szCs w:val="24"/>
              </w:rPr>
            </w:pPr>
            <w:r>
              <w:rPr>
                <w:rFonts w:hint="eastAsia" w:ascii="仿宋" w:hAnsi="仿宋"/>
                <w:szCs w:val="24"/>
              </w:rPr>
              <w:t>接管方案及承诺5分</w:t>
            </w:r>
          </w:p>
        </w:tc>
        <w:tc>
          <w:tcPr>
            <w:tcW w:w="3735" w:type="pct"/>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1．投标人提供对拟中标后接管原物业服务单位工作流程及交接方案进行综合评价：</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A.方案合理、科学、全面的得3分；</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B.方案较为合理、较为科学、较为全面的得2分；</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C.方案不合理、不科学、不全面的得0分。</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2.针对招标文件要求投标人提出的物业服务目标和各项管理服务承诺指标，根据投标人制订不达标改善措施，并对承诺的服务内容进行相应违约处罚承诺进行综合评价：</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A.指标齐全、明确清晰，有相应处罚承诺的得2分；</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ascii="仿宋" w:hAnsi="仿宋" w:cs="仿宋"/>
                <w:szCs w:val="24"/>
              </w:rPr>
            </w:pPr>
            <w:r>
              <w:rPr>
                <w:rFonts w:hint="eastAsia" w:ascii="仿宋" w:hAnsi="仿宋" w:cs="仿宋"/>
                <w:szCs w:val="24"/>
              </w:rPr>
              <w:t>B.指标较为齐全、较为明确，有简单的相应处罚承诺的得1分；</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240" w:firstLineChars="100"/>
              <w:textAlignment w:val="auto"/>
              <w:rPr>
                <w:rFonts w:hint="eastAsia" w:ascii="仿宋" w:hAnsi="仿宋" w:cs="仿宋"/>
                <w:szCs w:val="24"/>
              </w:rPr>
            </w:pPr>
            <w:r>
              <w:rPr>
                <w:rFonts w:hint="eastAsia" w:ascii="仿宋" w:hAnsi="仿宋" w:cs="仿宋"/>
                <w:szCs w:val="24"/>
              </w:rPr>
              <w:t>C.指标不全、不明确，无相应处罚承诺的得0分。</w:t>
            </w:r>
          </w:p>
        </w:tc>
        <w:tc>
          <w:tcPr>
            <w:tcW w:w="418" w:type="pct"/>
            <w:vAlign w:val="center"/>
          </w:tcPr>
          <w:p>
            <w:pPr>
              <w:spacing w:line="240" w:lineRule="auto"/>
              <w:ind w:firstLine="0" w:firstLineChars="0"/>
              <w:jc w:val="center"/>
              <w:rPr>
                <w:rFonts w:hint="eastAsia" w:ascii="仿宋" w:hAnsi="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spacing w:line="240" w:lineRule="auto"/>
              <w:ind w:firstLine="0" w:firstLineChars="0"/>
              <w:rPr>
                <w:rFonts w:ascii="仿宋" w:hAnsi="仿宋" w:cs="仿宋"/>
                <w:szCs w:val="24"/>
              </w:rPr>
            </w:pPr>
            <w:r>
              <w:rPr>
                <w:rFonts w:hint="eastAsia" w:ascii="仿宋" w:hAnsi="仿宋" w:cs="仿宋"/>
                <w:szCs w:val="24"/>
              </w:rPr>
              <w:t>突发事件快速处理和资源调配能力4分</w:t>
            </w:r>
          </w:p>
        </w:tc>
        <w:tc>
          <w:tcPr>
            <w:tcW w:w="3735" w:type="pct"/>
            <w:vAlign w:val="center"/>
          </w:tcPr>
          <w:p>
            <w:pPr>
              <w:spacing w:line="240" w:lineRule="auto"/>
              <w:ind w:firstLine="480" w:firstLineChars="200"/>
              <w:rPr>
                <w:rFonts w:ascii="仿宋" w:hAnsi="仿宋" w:cs="仿宋"/>
                <w:szCs w:val="24"/>
              </w:rPr>
            </w:pPr>
            <w:r>
              <w:rPr>
                <w:rFonts w:hint="eastAsia" w:ascii="仿宋" w:hAnsi="仿宋" w:cs="仿宋"/>
                <w:szCs w:val="24"/>
              </w:rPr>
              <w:t>结合本项目实际情况及物业服务需求特点，提出应急预案，方案包括但不限于迎新毕业等大型校事活动应急预案、学生宿舍管理各项应急预案、火灾应急预案、停水停电应急预案、应急抢修应急预案、自然灾害极端天气应急预案、公共安全和卫生事件应急预案等：</w:t>
            </w:r>
          </w:p>
          <w:p>
            <w:pPr>
              <w:spacing w:line="240" w:lineRule="auto"/>
              <w:ind w:firstLine="480" w:firstLineChars="200"/>
              <w:rPr>
                <w:rFonts w:ascii="仿宋" w:hAnsi="仿宋" w:cs="仿宋"/>
                <w:szCs w:val="24"/>
              </w:rPr>
            </w:pPr>
            <w:r>
              <w:rPr>
                <w:rFonts w:hint="eastAsia" w:ascii="仿宋" w:hAnsi="仿宋" w:cs="仿宋"/>
                <w:szCs w:val="24"/>
              </w:rPr>
              <w:t>应急预案完整、科学，整体性、针对性和可操作强，得4</w:t>
            </w:r>
            <w:r>
              <w:rPr>
                <w:rFonts w:hint="eastAsia" w:ascii="仿宋" w:hAnsi="仿宋" w:cs="仿宋"/>
                <w:szCs w:val="24"/>
                <w:lang w:val="en-US" w:eastAsia="zh-CN"/>
              </w:rPr>
              <w:t xml:space="preserve"> </w:t>
            </w:r>
            <w:r>
              <w:rPr>
                <w:rFonts w:hint="eastAsia" w:ascii="仿宋" w:hAnsi="仿宋" w:cs="仿宋"/>
                <w:szCs w:val="24"/>
              </w:rPr>
              <w:t>分；</w:t>
            </w:r>
          </w:p>
          <w:p>
            <w:pPr>
              <w:spacing w:line="240" w:lineRule="auto"/>
              <w:ind w:firstLine="480" w:firstLineChars="200"/>
              <w:rPr>
                <w:rFonts w:ascii="仿宋" w:hAnsi="仿宋" w:cs="仿宋"/>
                <w:szCs w:val="24"/>
              </w:rPr>
            </w:pPr>
            <w:r>
              <w:rPr>
                <w:rFonts w:hint="eastAsia" w:ascii="仿宋" w:hAnsi="仿宋" w:cs="仿宋"/>
                <w:szCs w:val="24"/>
              </w:rPr>
              <w:t>应急预案基本完整、可行，针对性和可操作性一般，得2-3分；</w:t>
            </w:r>
          </w:p>
          <w:p>
            <w:pPr>
              <w:spacing w:line="240" w:lineRule="auto"/>
              <w:ind w:firstLine="480" w:firstLineChars="200"/>
              <w:rPr>
                <w:rFonts w:ascii="仿宋" w:hAnsi="仿宋" w:cs="仿宋"/>
                <w:szCs w:val="24"/>
              </w:rPr>
            </w:pPr>
            <w:r>
              <w:rPr>
                <w:rFonts w:hint="eastAsia" w:ascii="仿宋" w:hAnsi="仿宋" w:cs="仿宋"/>
                <w:szCs w:val="24"/>
              </w:rPr>
              <w:t>应急方案不完整可行，针对性和可操作性差得1分；</w:t>
            </w:r>
          </w:p>
          <w:p>
            <w:pPr>
              <w:spacing w:line="240" w:lineRule="auto"/>
              <w:ind w:firstLine="0" w:firstLineChars="0"/>
              <w:rPr>
                <w:rFonts w:ascii="仿宋" w:hAnsi="仿宋" w:cs="仿宋"/>
                <w:szCs w:val="24"/>
              </w:rPr>
            </w:pPr>
            <w:r>
              <w:rPr>
                <w:rFonts w:hint="eastAsia" w:ascii="仿宋" w:hAnsi="仿宋" w:cs="仿宋"/>
                <w:szCs w:val="24"/>
              </w:rPr>
              <w:t>不提供不得分。</w:t>
            </w:r>
          </w:p>
        </w:tc>
        <w:tc>
          <w:tcPr>
            <w:tcW w:w="418" w:type="pct"/>
            <w:vAlign w:val="center"/>
          </w:tcPr>
          <w:p>
            <w:pPr>
              <w:spacing w:line="240" w:lineRule="auto"/>
              <w:ind w:firstLine="0" w:firstLineChars="0"/>
              <w:jc w:val="center"/>
              <w:rPr>
                <w:rFonts w:hint="eastAsia" w:ascii="仿宋" w:hAnsi="仿宋" w:eastAsia="仿宋" w:cs="仿宋"/>
                <w:szCs w:val="24"/>
                <w:lang w:eastAsia="zh-CN"/>
              </w:rPr>
            </w:pPr>
            <w:r>
              <w:rPr>
                <w:rFonts w:hint="eastAsia" w:ascii="仿宋" w:hAnsi="仿宋" w:cs="仿宋"/>
                <w:szCs w:val="24"/>
                <w:lang w:val="en-US" w:eastAsia="zh-CN"/>
              </w:rPr>
              <w:t xml:space="preserve">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spacing w:line="240" w:lineRule="auto"/>
              <w:ind w:firstLine="0" w:firstLineChars="0"/>
              <w:rPr>
                <w:rFonts w:ascii="仿宋" w:hAnsi="仿宋" w:cs="仿宋"/>
                <w:szCs w:val="24"/>
              </w:rPr>
            </w:pPr>
            <w:r>
              <w:rPr>
                <w:rFonts w:hint="eastAsia" w:ascii="仿宋" w:hAnsi="仿宋" w:cs="仿宋"/>
                <w:szCs w:val="24"/>
              </w:rPr>
              <w:t>服务安全管理方案3分</w:t>
            </w:r>
          </w:p>
        </w:tc>
        <w:tc>
          <w:tcPr>
            <w:tcW w:w="3735" w:type="pct"/>
            <w:vAlign w:val="center"/>
          </w:tcPr>
          <w:p>
            <w:pPr>
              <w:spacing w:line="240" w:lineRule="auto"/>
              <w:ind w:firstLine="0" w:firstLineChars="0"/>
              <w:rPr>
                <w:rFonts w:ascii="仿宋" w:hAnsi="仿宋" w:cs="仿宋"/>
                <w:szCs w:val="24"/>
              </w:rPr>
            </w:pPr>
            <w:r>
              <w:rPr>
                <w:rFonts w:hint="eastAsia" w:ascii="仿宋" w:hAnsi="仿宋" w:cs="仿宋"/>
                <w:szCs w:val="24"/>
              </w:rPr>
              <w:t>服务安全管理方案：根据提供的“人防、技防、物防”方案、制度措施、服务标准及安全系数评分，得0-3分。</w:t>
            </w:r>
          </w:p>
        </w:tc>
        <w:tc>
          <w:tcPr>
            <w:tcW w:w="418" w:type="pct"/>
            <w:vAlign w:val="center"/>
          </w:tcPr>
          <w:p>
            <w:pPr>
              <w:spacing w:line="240" w:lineRule="auto"/>
              <w:ind w:firstLine="0" w:firstLineChars="0"/>
              <w:jc w:val="center"/>
              <w:rPr>
                <w:rFonts w:hint="eastAsia" w:ascii="仿宋" w:hAnsi="仿宋" w:eastAsia="仿宋" w:cs="仿宋"/>
                <w:szCs w:val="24"/>
                <w:lang w:eastAsia="zh-CN"/>
              </w:rPr>
            </w:pPr>
            <w:r>
              <w:rPr>
                <w:rFonts w:hint="eastAsia" w:ascii="仿宋" w:hAnsi="仿宋" w:cs="仿宋"/>
                <w:szCs w:val="24"/>
                <w:lang w:val="en-US" w:eastAsia="zh-CN"/>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spacing w:line="240" w:lineRule="auto"/>
              <w:ind w:firstLine="0" w:firstLineChars="0"/>
              <w:rPr>
                <w:rFonts w:ascii="仿宋" w:hAnsi="仿宋" w:cs="仿宋"/>
                <w:szCs w:val="24"/>
              </w:rPr>
            </w:pPr>
            <w:r>
              <w:rPr>
                <w:rFonts w:hint="eastAsia" w:ascii="仿宋" w:hAnsi="仿宋" w:cs="仿宋"/>
                <w:szCs w:val="24"/>
              </w:rPr>
              <w:t>节能降耗3分</w:t>
            </w:r>
          </w:p>
        </w:tc>
        <w:tc>
          <w:tcPr>
            <w:tcW w:w="3735" w:type="pct"/>
            <w:vAlign w:val="center"/>
          </w:tcPr>
          <w:p>
            <w:pPr>
              <w:spacing w:line="240" w:lineRule="auto"/>
              <w:ind w:firstLine="0" w:firstLineChars="0"/>
              <w:rPr>
                <w:rFonts w:ascii="仿宋" w:hAnsi="仿宋" w:cs="仿宋"/>
                <w:szCs w:val="24"/>
              </w:rPr>
            </w:pPr>
            <w:r>
              <w:rPr>
                <w:rFonts w:hint="eastAsia" w:ascii="仿宋" w:hAnsi="仿宋" w:cs="仿宋"/>
                <w:szCs w:val="24"/>
              </w:rPr>
              <w:t>根据节能降耗方案制定（水、电、暖三方面，应包含具体节能概算）情况，方案切合项目实际情况、人员配备合理得2-3分；方案或人员配备有缺失的，得0-1分；否则不得分。</w:t>
            </w:r>
          </w:p>
        </w:tc>
        <w:tc>
          <w:tcPr>
            <w:tcW w:w="418" w:type="pct"/>
            <w:vAlign w:val="center"/>
          </w:tcPr>
          <w:p>
            <w:pPr>
              <w:spacing w:line="240" w:lineRule="auto"/>
              <w:ind w:firstLine="0" w:firstLineChars="0"/>
              <w:jc w:val="center"/>
              <w:rPr>
                <w:rFonts w:hint="eastAsia" w:ascii="仿宋" w:hAnsi="仿宋" w:eastAsia="仿宋" w:cs="仿宋"/>
                <w:szCs w:val="24"/>
                <w:lang w:eastAsia="zh-CN"/>
              </w:rPr>
            </w:pPr>
            <w:r>
              <w:rPr>
                <w:rFonts w:hint="eastAsia" w:ascii="仿宋" w:hAnsi="仿宋" w:cs="仿宋"/>
                <w:szCs w:val="24"/>
                <w:lang w:val="en-US" w:eastAsia="zh-CN"/>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339" w:type="pct"/>
            <w:vMerge w:val="continue"/>
            <w:vAlign w:val="center"/>
          </w:tcPr>
          <w:p>
            <w:pPr>
              <w:spacing w:line="240" w:lineRule="auto"/>
              <w:ind w:firstLine="0" w:firstLineChars="0"/>
              <w:jc w:val="center"/>
              <w:rPr>
                <w:rFonts w:ascii="仿宋" w:hAnsi="仿宋" w:cs="仿宋"/>
                <w:szCs w:val="24"/>
              </w:rPr>
            </w:pPr>
          </w:p>
        </w:tc>
        <w:tc>
          <w:tcPr>
            <w:tcW w:w="506" w:type="pct"/>
            <w:vAlign w:val="center"/>
          </w:tcPr>
          <w:p>
            <w:pPr>
              <w:spacing w:line="240" w:lineRule="auto"/>
              <w:ind w:firstLine="0" w:firstLineChars="0"/>
              <w:rPr>
                <w:rFonts w:ascii="仿宋" w:hAnsi="仿宋" w:cs="仿宋"/>
                <w:szCs w:val="24"/>
                <w:highlight w:val="yellow"/>
              </w:rPr>
            </w:pPr>
            <w:r>
              <w:rPr>
                <w:rFonts w:hint="eastAsia" w:ascii="仿宋" w:hAnsi="仿宋" w:cs="仿宋"/>
                <w:szCs w:val="24"/>
              </w:rPr>
              <w:t>信息化管理水平5分</w:t>
            </w:r>
          </w:p>
        </w:tc>
        <w:tc>
          <w:tcPr>
            <w:tcW w:w="3735" w:type="pct"/>
            <w:vAlign w:val="center"/>
          </w:tcPr>
          <w:p>
            <w:pPr>
              <w:pStyle w:val="8"/>
              <w:spacing w:line="276" w:lineRule="auto"/>
              <w:ind w:firstLine="480"/>
              <w:rPr>
                <w:rFonts w:ascii="仿宋" w:cs="仿宋"/>
                <w:szCs w:val="24"/>
              </w:rPr>
            </w:pPr>
            <w:r>
              <w:rPr>
                <w:rFonts w:hint="eastAsia" w:ascii="仿宋" w:cs="仿宋"/>
                <w:szCs w:val="24"/>
              </w:rPr>
              <w:t>投标人具有物业行业相关的智慧化管理平台（要求可以同时支持移动手机端及PC端），须同时具备报修、巡检、投诉、数据分析功能，投标人对以上四项功能进行演示，准备演示视频，根据演示情况每功能项得0-1.25分。</w:t>
            </w:r>
          </w:p>
          <w:p>
            <w:pPr>
              <w:pStyle w:val="8"/>
              <w:spacing w:line="276" w:lineRule="auto"/>
              <w:ind w:firstLine="482"/>
              <w:rPr>
                <w:rFonts w:ascii="仿宋" w:cs="仿宋"/>
                <w:szCs w:val="24"/>
              </w:rPr>
            </w:pPr>
            <w:r>
              <w:rPr>
                <w:rFonts w:hint="eastAsia" w:ascii="仿宋" w:cs="仿宋"/>
                <w:b/>
                <w:bCs/>
                <w:szCs w:val="24"/>
              </w:rPr>
              <w:t>演示视频时长不超过8分钟，演示视频格式适用于主流播放软件，并将演示视频封装于投标电子版中。</w:t>
            </w:r>
          </w:p>
        </w:tc>
        <w:tc>
          <w:tcPr>
            <w:tcW w:w="418" w:type="pct"/>
            <w:vAlign w:val="center"/>
          </w:tcPr>
          <w:p>
            <w:pPr>
              <w:spacing w:line="240" w:lineRule="auto"/>
              <w:ind w:firstLine="0" w:firstLineChars="0"/>
              <w:jc w:val="center"/>
              <w:rPr>
                <w:rFonts w:hint="eastAsia" w:ascii="仿宋" w:hAnsi="仿宋" w:eastAsia="仿宋" w:cs="仿宋"/>
                <w:szCs w:val="24"/>
                <w:lang w:eastAsia="zh-CN"/>
              </w:rPr>
            </w:pPr>
            <w:r>
              <w:rPr>
                <w:rFonts w:hint="eastAsia" w:ascii="仿宋" w:hAnsi="仿宋" w:cs="仿宋"/>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 w:type="pct"/>
            <w:vMerge w:val="continue"/>
            <w:vAlign w:val="center"/>
          </w:tcPr>
          <w:p>
            <w:pPr>
              <w:autoSpaceDE w:val="0"/>
              <w:autoSpaceDN w:val="0"/>
              <w:adjustRightInd w:val="0"/>
              <w:snapToGrid w:val="0"/>
              <w:spacing w:line="240" w:lineRule="auto"/>
              <w:ind w:firstLine="0" w:firstLineChars="0"/>
              <w:jc w:val="center"/>
              <w:rPr>
                <w:rFonts w:ascii="仿宋" w:hAnsi="仿宋" w:cs="仿宋"/>
                <w:kern w:val="0"/>
                <w:szCs w:val="24"/>
              </w:rPr>
            </w:pPr>
          </w:p>
        </w:tc>
        <w:tc>
          <w:tcPr>
            <w:tcW w:w="506" w:type="pct"/>
            <w:vAlign w:val="center"/>
          </w:tcPr>
          <w:p>
            <w:pPr>
              <w:spacing w:line="240" w:lineRule="auto"/>
              <w:ind w:firstLine="0" w:firstLineChars="0"/>
              <w:rPr>
                <w:rFonts w:ascii="仿宋" w:hAnsi="仿宋" w:cs="仿宋"/>
                <w:szCs w:val="24"/>
              </w:rPr>
            </w:pPr>
            <w:r>
              <w:rPr>
                <w:rFonts w:hint="eastAsia" w:ascii="仿宋" w:hAnsi="仿宋" w:cs="仿宋"/>
                <w:szCs w:val="24"/>
              </w:rPr>
              <w:t>成本费用测算4分</w:t>
            </w:r>
          </w:p>
        </w:tc>
        <w:tc>
          <w:tcPr>
            <w:tcW w:w="3735" w:type="pct"/>
            <w:vAlign w:val="center"/>
          </w:tcPr>
          <w:p>
            <w:pPr>
              <w:spacing w:line="240" w:lineRule="auto"/>
              <w:ind w:firstLine="0" w:firstLineChars="0"/>
              <w:rPr>
                <w:rFonts w:ascii="仿宋" w:hAnsi="仿宋" w:cs="仿宋"/>
                <w:szCs w:val="24"/>
              </w:rPr>
            </w:pPr>
            <w:r>
              <w:rPr>
                <w:rFonts w:hint="eastAsia" w:ascii="仿宋" w:hAnsi="仿宋" w:cs="仿宋"/>
                <w:szCs w:val="24"/>
              </w:rPr>
              <w:t>根据项目投标报价成本测算分析，符合国家及招标文件有关规定，综合成本测算分析是否合理，是否有利于维持物业服务质量情况，得0-4分。</w:t>
            </w:r>
          </w:p>
        </w:tc>
        <w:tc>
          <w:tcPr>
            <w:tcW w:w="418" w:type="pct"/>
            <w:vAlign w:val="center"/>
          </w:tcPr>
          <w:p>
            <w:pPr>
              <w:autoSpaceDE w:val="0"/>
              <w:autoSpaceDN w:val="0"/>
              <w:adjustRightInd w:val="0"/>
              <w:snapToGrid w:val="0"/>
              <w:spacing w:line="240" w:lineRule="auto"/>
              <w:ind w:firstLine="0" w:firstLineChars="0"/>
              <w:jc w:val="center"/>
              <w:rPr>
                <w:rFonts w:hint="eastAsia" w:ascii="仿宋" w:hAnsi="仿宋" w:eastAsia="仿宋" w:cs="仿宋"/>
                <w:kern w:val="0"/>
                <w:szCs w:val="24"/>
                <w:lang w:eastAsia="zh-CN"/>
              </w:rPr>
            </w:pPr>
            <w:r>
              <w:rPr>
                <w:rFonts w:hint="eastAsia" w:ascii="仿宋" w:hAnsi="仿宋" w:cs="仿宋"/>
                <w:kern w:val="0"/>
                <w:szCs w:val="24"/>
                <w:lang w:val="en-US" w:eastAsia="zh-CN"/>
              </w:rPr>
              <w:t>1</w:t>
            </w:r>
          </w:p>
        </w:tc>
      </w:tr>
    </w:tbl>
    <w:p>
      <w:pPr>
        <w:ind w:firstLine="48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YzZmMzZDNlNzJiNmRkMzhlN2NiYmMwNjE4NGNhNzQifQ=="/>
  </w:docVars>
  <w:rsids>
    <w:rsidRoot w:val="00D23887"/>
    <w:rsid w:val="001B146B"/>
    <w:rsid w:val="00285A2B"/>
    <w:rsid w:val="00B03A6F"/>
    <w:rsid w:val="00D23887"/>
    <w:rsid w:val="49746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仿宋" w:cs="Times New Roman"/>
      <w:kern w:val="2"/>
      <w:sz w:val="24"/>
      <w:szCs w:val="20"/>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toc 1"/>
    <w:basedOn w:val="1"/>
    <w:next w:val="1"/>
    <w:unhideWhenUsed/>
    <w:qFormat/>
    <w:uiPriority w:val="39"/>
  </w:style>
  <w:style w:type="paragraph" w:styleId="3">
    <w:name w:val="Plain Text"/>
    <w:basedOn w:val="1"/>
    <w:link w:val="6"/>
    <w:qFormat/>
    <w:uiPriority w:val="0"/>
    <w:rPr>
      <w:rFonts w:ascii="宋体" w:hAnsi="Courier New"/>
    </w:rPr>
  </w:style>
  <w:style w:type="character" w:customStyle="1" w:styleId="6">
    <w:name w:val="纯文本 字符"/>
    <w:basedOn w:val="5"/>
    <w:link w:val="3"/>
    <w:qFormat/>
    <w:uiPriority w:val="0"/>
    <w:rPr>
      <w:rFonts w:ascii="宋体" w:hAnsi="Courier New" w:eastAsia="仿宋" w:cs="Times New Roman"/>
      <w:sz w:val="24"/>
      <w:szCs w:val="20"/>
    </w:rPr>
  </w:style>
  <w:style w:type="character" w:customStyle="1" w:styleId="7">
    <w:name w:val="列表段落 字符"/>
    <w:link w:val="8"/>
    <w:qFormat/>
    <w:uiPriority w:val="34"/>
    <w:rPr>
      <w:rFonts w:eastAsia="仿宋"/>
      <w:sz w:val="24"/>
    </w:rPr>
  </w:style>
  <w:style w:type="paragraph" w:styleId="8">
    <w:name w:val="List Paragraph"/>
    <w:basedOn w:val="1"/>
    <w:link w:val="7"/>
    <w:qFormat/>
    <w:uiPriority w:val="34"/>
    <w:pPr>
      <w:ind w:firstLine="420"/>
    </w:pPr>
    <w:rPr>
      <w:rFonts w:asciiTheme="minorHAnsi" w:hAnsiTheme="minorHAnsi" w:cstheme="minorBid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401</Words>
  <Characters>2290</Characters>
  <Lines>19</Lines>
  <Paragraphs>5</Paragraphs>
  <TotalTime>11</TotalTime>
  <ScaleCrop>false</ScaleCrop>
  <LinksUpToDate>false</LinksUpToDate>
  <CharactersWithSpaces>2686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2022-05-17T08:29:00Z</dcterms:created>
  <dc:creator>于世辉</dc:creator>
  <cp:lastModifiedBy>秋天的故事</cp:lastModifiedBy>
  <dcterms:modified xsi:type="dcterms:W3CDTF">2023-10-23T00:47:19Z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9CD98C095CA54202A47CA42CDC86A926_12</vt:lpwstr>
  </property>
</Properties>
</file>